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920D75">
        <w:trPr>
          <w:trHeight w:val="852"/>
          <w:jc w:val="center"/>
        </w:trPr>
        <w:tc>
          <w:tcPr>
            <w:tcW w:w="6940"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530285EB" w:rsidR="000A03B2" w:rsidRPr="00B57B36" w:rsidRDefault="00A76EFC" w:rsidP="001D21A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30152C">
              <w:rPr>
                <w:rFonts w:cs="Arial"/>
                <w:b/>
                <w:bCs/>
                <w:i/>
                <w:iCs/>
                <w:color w:val="000066"/>
                <w:sz w:val="22"/>
                <w:szCs w:val="22"/>
                <w:lang w:eastAsia="it-IT"/>
              </w:rPr>
              <w:t xml:space="preserve">   </w:t>
            </w:r>
            <w:r w:rsidR="007B48F9">
              <w:rPr>
                <w:rFonts w:cs="Arial"/>
                <w:b/>
                <w:bCs/>
                <w:i/>
                <w:iCs/>
                <w:color w:val="000066"/>
                <w:sz w:val="22"/>
                <w:szCs w:val="22"/>
                <w:lang w:eastAsia="it-IT"/>
              </w:rPr>
              <w:t>,</w:t>
            </w:r>
            <w:r w:rsidR="00FA5F5F">
              <w:rPr>
                <w:rFonts w:cs="Arial"/>
                <w:b/>
                <w:bCs/>
                <w:i/>
                <w:iCs/>
                <w:color w:val="000066"/>
                <w:sz w:val="22"/>
                <w:szCs w:val="22"/>
                <w:lang w:eastAsia="it-IT"/>
              </w:rPr>
              <w:t xml:space="preserve"> </w:t>
            </w:r>
            <w:r w:rsidR="0030152C">
              <w:rPr>
                <w:rFonts w:cs="Arial"/>
                <w:b/>
                <w:bCs/>
                <w:i/>
                <w:iCs/>
                <w:color w:val="000066"/>
                <w:sz w:val="22"/>
                <w:szCs w:val="22"/>
                <w:lang w:eastAsia="it-IT"/>
              </w:rPr>
              <w:t>2023</w:t>
            </w:r>
          </w:p>
        </w:tc>
        <w:tc>
          <w:tcPr>
            <w:tcW w:w="1842"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920D75">
        <w:trPr>
          <w:trHeight w:val="567"/>
          <w:jc w:val="center"/>
        </w:trPr>
        <w:tc>
          <w:tcPr>
            <w:tcW w:w="6940" w:type="dxa"/>
            <w:vMerge/>
            <w:tcBorders>
              <w:right w:val="single" w:sz="4" w:space="0" w:color="auto"/>
            </w:tcBorders>
          </w:tcPr>
          <w:p w14:paraId="39E5E4C1" w14:textId="77777777" w:rsidR="000A03B2" w:rsidRPr="00B57B36" w:rsidRDefault="000A03B2" w:rsidP="00CD5FE2">
            <w:pPr>
              <w:tabs>
                <w:tab w:val="left" w:pos="-108"/>
              </w:tabs>
            </w:pPr>
          </w:p>
        </w:tc>
        <w:tc>
          <w:tcPr>
            <w:tcW w:w="1842"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920D75">
        <w:trPr>
          <w:trHeight w:val="68"/>
          <w:jc w:val="center"/>
        </w:trPr>
        <w:tc>
          <w:tcPr>
            <w:tcW w:w="8782" w:type="dxa"/>
            <w:gridSpan w:val="2"/>
          </w:tcPr>
          <w:p w14:paraId="1D8DD3C9" w14:textId="06DCB7F6" w:rsidR="00AA7D26" w:rsidRPr="003A6FC6" w:rsidRDefault="00AA7D26" w:rsidP="00AA7D26">
            <w:pPr>
              <w:ind w:left="-107"/>
              <w:outlineLvl w:val="2"/>
              <w:rPr>
                <w:rFonts w:ascii="Tahoma" w:hAnsi="Tahoma" w:cs="Tahoma"/>
                <w:bCs/>
                <w:color w:val="000000"/>
                <w:sz w:val="14"/>
                <w:szCs w:val="14"/>
                <w:lang w:val="it-IT" w:eastAsia="it-IT"/>
              </w:rPr>
            </w:pPr>
            <w:r w:rsidRPr="003A6FC6">
              <w:rPr>
                <w:rFonts w:ascii="Tahoma" w:hAnsi="Tahoma" w:cs="Tahoma"/>
                <w:iCs/>
                <w:color w:val="333333"/>
                <w:sz w:val="14"/>
                <w:szCs w:val="14"/>
                <w:lang w:val="it-IT" w:eastAsia="it-IT"/>
              </w:rPr>
              <w:t>Guest Editors:</w:t>
            </w:r>
            <w:r w:rsidRPr="003A6FC6">
              <w:rPr>
                <w:rFonts w:ascii="Tahoma" w:hAnsi="Tahoma" w:cs="Tahoma"/>
                <w:color w:val="000000"/>
                <w:sz w:val="14"/>
                <w:szCs w:val="14"/>
                <w:shd w:val="clear" w:color="auto" w:fill="FFFFFF"/>
                <w:lang w:val="it-IT"/>
              </w:rPr>
              <w:t xml:space="preserve"> </w:t>
            </w:r>
            <w:r w:rsidR="003A6FC6" w:rsidRPr="003A6FC6">
              <w:rPr>
                <w:rFonts w:ascii="Tahoma" w:hAnsi="Tahoma" w:cs="Tahoma"/>
                <w:color w:val="000000"/>
                <w:sz w:val="14"/>
                <w:szCs w:val="14"/>
                <w:shd w:val="clear" w:color="auto" w:fill="FFFFFF"/>
                <w:lang w:val="it-IT"/>
              </w:rPr>
              <w:t>Laura Piazza, M</w:t>
            </w:r>
            <w:r w:rsidR="003A6FC6">
              <w:rPr>
                <w:rFonts w:ascii="Tahoma" w:hAnsi="Tahoma" w:cs="Tahoma"/>
                <w:color w:val="000000"/>
                <w:sz w:val="14"/>
                <w:szCs w:val="14"/>
                <w:shd w:val="clear" w:color="auto" w:fill="FFFFFF"/>
                <w:lang w:val="it-IT"/>
              </w:rPr>
              <w:t>auro Moresi, Francesco Donsì</w:t>
            </w:r>
          </w:p>
          <w:p w14:paraId="1B0F1814" w14:textId="617BA86D" w:rsidR="000A03B2" w:rsidRPr="00B57B36" w:rsidRDefault="00AA7D26" w:rsidP="00AA7D26">
            <w:pPr>
              <w:tabs>
                <w:tab w:val="left" w:pos="-108"/>
              </w:tabs>
              <w:spacing w:line="140" w:lineRule="atLeast"/>
              <w:ind w:left="-107"/>
              <w:jc w:val="left"/>
            </w:pPr>
            <w:r>
              <w:rPr>
                <w:rFonts w:ascii="Tahoma" w:hAnsi="Tahoma" w:cs="Tahoma"/>
                <w:iCs/>
                <w:color w:val="333333"/>
                <w:sz w:val="14"/>
                <w:szCs w:val="14"/>
                <w:lang w:eastAsia="it-IT"/>
              </w:rPr>
              <w:t>Copyright © 2023</w:t>
            </w:r>
            <w:r w:rsidRPr="00B57B36">
              <w:rPr>
                <w:rFonts w:ascii="Tahoma" w:hAnsi="Tahoma" w:cs="Tahoma"/>
                <w:iCs/>
                <w:color w:val="333333"/>
                <w:sz w:val="14"/>
                <w:szCs w:val="14"/>
                <w:lang w:eastAsia="it-IT"/>
              </w:rPr>
              <w:t>, AIDIC Servizi S.r.l.</w:t>
            </w:r>
            <w:r w:rsidRPr="00B57B36">
              <w:rPr>
                <w:rFonts w:ascii="Tahoma" w:hAnsi="Tahoma" w:cs="Tahoma"/>
                <w:iCs/>
                <w:color w:val="333333"/>
                <w:sz w:val="14"/>
                <w:szCs w:val="14"/>
                <w:lang w:eastAsia="it-IT"/>
              </w:rPr>
              <w:br/>
            </w:r>
            <w:r w:rsidRPr="00B57B36">
              <w:rPr>
                <w:rFonts w:ascii="Tahoma" w:hAnsi="Tahoma" w:cs="Tahoma"/>
                <w:b/>
                <w:iCs/>
                <w:color w:val="000000"/>
                <w:sz w:val="14"/>
                <w:szCs w:val="14"/>
                <w:lang w:eastAsia="it-IT"/>
              </w:rPr>
              <w:t>ISBN</w:t>
            </w:r>
            <w:r w:rsidRPr="00B57B36">
              <w:rPr>
                <w:rFonts w:ascii="Tahoma" w:hAnsi="Tahoma" w:cs="Tahoma"/>
                <w:iCs/>
                <w:color w:val="000000"/>
                <w:sz w:val="14"/>
                <w:szCs w:val="14"/>
                <w:lang w:eastAsia="it-IT"/>
              </w:rPr>
              <w:t xml:space="preserve"> </w:t>
            </w:r>
            <w:r w:rsidR="008B7C03" w:rsidRPr="000562A9">
              <w:rPr>
                <w:rFonts w:ascii="Tahoma" w:hAnsi="Tahoma" w:cs="Tahoma"/>
                <w:sz w:val="14"/>
                <w:szCs w:val="14"/>
              </w:rPr>
              <w:t>97</w:t>
            </w:r>
            <w:r w:rsidR="008B7C03">
              <w:rPr>
                <w:rFonts w:ascii="Tahoma" w:hAnsi="Tahoma" w:cs="Tahoma"/>
                <w:sz w:val="14"/>
                <w:szCs w:val="14"/>
              </w:rPr>
              <w:t>9</w:t>
            </w:r>
            <w:r w:rsidR="008B7C03" w:rsidRPr="000562A9">
              <w:rPr>
                <w:rFonts w:ascii="Tahoma" w:hAnsi="Tahoma" w:cs="Tahoma"/>
                <w:sz w:val="14"/>
                <w:szCs w:val="14"/>
              </w:rPr>
              <w:t>-</w:t>
            </w:r>
            <w:r w:rsidR="008B7C03">
              <w:rPr>
                <w:rFonts w:ascii="Tahoma" w:hAnsi="Tahoma" w:cs="Tahoma"/>
                <w:sz w:val="14"/>
                <w:szCs w:val="14"/>
              </w:rPr>
              <w:t>12</w:t>
            </w:r>
            <w:r w:rsidR="008B7C03" w:rsidRPr="000562A9">
              <w:rPr>
                <w:rFonts w:ascii="Tahoma" w:hAnsi="Tahoma" w:cs="Tahoma"/>
                <w:sz w:val="14"/>
                <w:szCs w:val="14"/>
              </w:rPr>
              <w:t>-</w:t>
            </w:r>
            <w:r w:rsidR="008B7C03">
              <w:rPr>
                <w:rFonts w:ascii="Tahoma" w:hAnsi="Tahoma" w:cs="Tahoma"/>
                <w:sz w:val="14"/>
                <w:szCs w:val="14"/>
              </w:rPr>
              <w:t>81206</w:t>
            </w:r>
            <w:r>
              <w:rPr>
                <w:rFonts w:ascii="Tahoma" w:hAnsi="Tahoma" w:cs="Tahoma"/>
                <w:sz w:val="14"/>
                <w:szCs w:val="14"/>
              </w:rPr>
              <w:t>-</w:t>
            </w:r>
            <w:r w:rsidR="00E33DD7">
              <w:rPr>
                <w:rFonts w:ascii="Tahoma" w:hAnsi="Tahoma" w:cs="Tahoma"/>
                <w:sz w:val="14"/>
                <w:szCs w:val="14"/>
              </w:rPr>
              <w:t>0</w:t>
            </w:r>
            <w:r w:rsidR="003A6FC6">
              <w:rPr>
                <w:rFonts w:ascii="Tahoma" w:hAnsi="Tahoma" w:cs="Tahoma"/>
                <w:sz w:val="14"/>
                <w:szCs w:val="14"/>
              </w:rPr>
              <w:t>1</w:t>
            </w:r>
            <w:r>
              <w:rPr>
                <w:rFonts w:ascii="Tahoma" w:hAnsi="Tahoma" w:cs="Tahoma"/>
                <w:sz w:val="14"/>
                <w:szCs w:val="14"/>
              </w:rPr>
              <w:t>-</w:t>
            </w:r>
            <w:r w:rsidR="003A6FC6">
              <w:rPr>
                <w:rFonts w:ascii="Tahoma" w:hAnsi="Tahoma" w:cs="Tahoma"/>
                <w:sz w:val="14"/>
                <w:szCs w:val="14"/>
              </w:rPr>
              <w:t>4</w:t>
            </w:r>
            <w:r w:rsidRPr="00EF06D9">
              <w:rPr>
                <w:rFonts w:ascii="Tahoma" w:hAnsi="Tahoma" w:cs="Tahoma"/>
                <w:iCs/>
                <w:color w:val="333333"/>
                <w:sz w:val="14"/>
                <w:szCs w:val="14"/>
                <w:lang w:eastAsia="it-IT"/>
              </w:rPr>
              <w:t>;</w:t>
            </w:r>
            <w:r w:rsidRPr="00B57B36">
              <w:rPr>
                <w:rFonts w:ascii="Tahoma" w:hAnsi="Tahoma" w:cs="Tahoma"/>
                <w:iCs/>
                <w:color w:val="333333"/>
                <w:sz w:val="14"/>
                <w:szCs w:val="14"/>
                <w:lang w:eastAsia="it-IT"/>
              </w:rPr>
              <w:t xml:space="preserve"> </w:t>
            </w:r>
            <w:r w:rsidRPr="00B57B36">
              <w:rPr>
                <w:rFonts w:ascii="Tahoma" w:hAnsi="Tahoma" w:cs="Tahoma"/>
                <w:b/>
                <w:iCs/>
                <w:color w:val="333333"/>
                <w:sz w:val="14"/>
                <w:szCs w:val="14"/>
                <w:lang w:eastAsia="it-IT"/>
              </w:rPr>
              <w:t>ISSN</w:t>
            </w:r>
            <w:r w:rsidRPr="00B57B36">
              <w:rPr>
                <w:rFonts w:ascii="Tahoma" w:hAnsi="Tahoma" w:cs="Tahoma"/>
                <w:iCs/>
                <w:color w:val="333333"/>
                <w:sz w:val="14"/>
                <w:szCs w:val="14"/>
                <w:lang w:eastAsia="it-IT"/>
              </w:rPr>
              <w:t xml:space="preserve"> 2283-9216</w:t>
            </w:r>
          </w:p>
        </w:tc>
      </w:tr>
    </w:tbl>
    <w:p w14:paraId="2E667253" w14:textId="5AE02D5E" w:rsidR="00E978D0" w:rsidRPr="00B57B36" w:rsidRDefault="0008128C" w:rsidP="00E978D0">
      <w:pPr>
        <w:pStyle w:val="CETTitle"/>
      </w:pPr>
      <w:r>
        <w:t>Investigation of an Energy-Saving System to Reduce the Energy Consumption of Decanter M</w:t>
      </w:r>
      <w:r w:rsidR="002D0272" w:rsidRPr="002D0272">
        <w:t>achine</w:t>
      </w:r>
    </w:p>
    <w:p w14:paraId="0488FED2" w14:textId="4A3142CC" w:rsidR="00B57E6F" w:rsidRPr="00166BB6" w:rsidRDefault="00166BB6" w:rsidP="00B57E6F">
      <w:pPr>
        <w:pStyle w:val="CETAuthors"/>
        <w:rPr>
          <w:lang w:val="it-IT"/>
        </w:rPr>
      </w:pPr>
      <w:r w:rsidRPr="00166BB6">
        <w:rPr>
          <w:lang w:val="it-IT"/>
        </w:rPr>
        <w:t>Claudio Perone</w:t>
      </w:r>
      <w:r w:rsidR="00B57E6F" w:rsidRPr="00166BB6">
        <w:rPr>
          <w:vertAlign w:val="superscript"/>
          <w:lang w:val="it-IT"/>
        </w:rPr>
        <w:t>a</w:t>
      </w:r>
      <w:r w:rsidR="00B57E6F" w:rsidRPr="00166BB6">
        <w:rPr>
          <w:lang w:val="it-IT"/>
        </w:rPr>
        <w:t xml:space="preserve">, </w:t>
      </w:r>
      <w:r w:rsidRPr="00166BB6">
        <w:rPr>
          <w:lang w:val="it-IT"/>
        </w:rPr>
        <w:t>Antonio Berardi</w:t>
      </w:r>
      <w:r w:rsidRPr="00166BB6">
        <w:rPr>
          <w:vertAlign w:val="superscript"/>
          <w:lang w:val="it-IT"/>
        </w:rPr>
        <w:t>a</w:t>
      </w:r>
      <w:r w:rsidR="00B57E6F" w:rsidRPr="00166BB6">
        <w:rPr>
          <w:lang w:val="it-IT"/>
        </w:rPr>
        <w:t xml:space="preserve">, </w:t>
      </w:r>
      <w:r w:rsidR="008855D1">
        <w:rPr>
          <w:lang w:val="it-IT"/>
        </w:rPr>
        <w:t>Cosimo Damiani Dellisanti</w:t>
      </w:r>
      <w:r w:rsidR="008855D1" w:rsidRPr="00166BB6">
        <w:rPr>
          <w:vertAlign w:val="superscript"/>
          <w:lang w:val="it-IT"/>
        </w:rPr>
        <w:t>a</w:t>
      </w:r>
      <w:r w:rsidR="008855D1">
        <w:rPr>
          <w:lang w:val="it-IT"/>
        </w:rPr>
        <w:t xml:space="preserve">, </w:t>
      </w:r>
      <w:r>
        <w:rPr>
          <w:lang w:val="it-IT"/>
        </w:rPr>
        <w:t>Antonia Tamborrino</w:t>
      </w:r>
      <w:r w:rsidRPr="00166BB6">
        <w:rPr>
          <w:vertAlign w:val="superscript"/>
          <w:lang w:val="it-IT"/>
        </w:rPr>
        <w:t>a</w:t>
      </w:r>
      <w:r w:rsidR="0056729A">
        <w:rPr>
          <w:vertAlign w:val="superscript"/>
          <w:lang w:val="it-IT"/>
        </w:rPr>
        <w:t>,</w:t>
      </w:r>
      <w:r w:rsidR="0008128C" w:rsidRPr="00166BB6">
        <w:rPr>
          <w:lang w:val="it-IT"/>
        </w:rPr>
        <w:t>*</w:t>
      </w:r>
      <w:r>
        <w:rPr>
          <w:lang w:val="it-IT"/>
        </w:rPr>
        <w:t>, Alessandro Leone</w:t>
      </w:r>
      <w:r w:rsidRPr="00166BB6">
        <w:rPr>
          <w:vertAlign w:val="superscript"/>
          <w:lang w:val="it-IT"/>
        </w:rPr>
        <w:t>a</w:t>
      </w:r>
    </w:p>
    <w:p w14:paraId="6B2D21B3" w14:textId="25368BE7" w:rsidR="00B57E6F" w:rsidRPr="00B57B36" w:rsidRDefault="004A3E95" w:rsidP="004A3E95">
      <w:pPr>
        <w:pStyle w:val="CETAddress"/>
        <w:ind w:left="142" w:hanging="142"/>
      </w:pPr>
      <w:r>
        <w:rPr>
          <w:vertAlign w:val="superscript"/>
        </w:rPr>
        <w:t>a</w:t>
      </w:r>
      <w:r w:rsidRPr="0083709B">
        <w:t xml:space="preserve"> </w:t>
      </w:r>
      <w:r w:rsidR="00F7234A" w:rsidRPr="0083709B">
        <w:t>Department of Soil, Plant and Food Sciences, University of Bari Aldo Moro, Via Amendola 165/A, Bari, 70126, Italy</w:t>
      </w:r>
    </w:p>
    <w:p w14:paraId="5E2AA86D" w14:textId="0727A7D4" w:rsidR="00C93017" w:rsidRPr="00B57B36" w:rsidRDefault="00B56AAD" w:rsidP="004A3E95">
      <w:pPr>
        <w:pStyle w:val="CETemail"/>
        <w:ind w:left="142" w:hanging="142"/>
      </w:pPr>
      <w:r>
        <w:t>antonia.tamborrino</w:t>
      </w:r>
      <w:r w:rsidR="00B57E6F" w:rsidRPr="00B57B36">
        <w:t>@</w:t>
      </w:r>
      <w:r w:rsidR="00166BB6">
        <w:t>uniba</w:t>
      </w:r>
      <w:r>
        <w:t>.it</w:t>
      </w:r>
    </w:p>
    <w:p w14:paraId="37A61FCE" w14:textId="38AFB098" w:rsidR="00DA24C6" w:rsidRDefault="00E57A08" w:rsidP="00D53092">
      <w:pPr>
        <w:pStyle w:val="CETBodytext"/>
      </w:pPr>
      <w:r w:rsidRPr="00E57A08">
        <w:rPr>
          <w:lang w:val="en-GB"/>
        </w:rPr>
        <w:t xml:space="preserve">This study presents a practical and simple approach to </w:t>
      </w:r>
      <w:r>
        <w:rPr>
          <w:lang w:val="en-GB"/>
        </w:rPr>
        <w:t>investigate</w:t>
      </w:r>
      <w:r w:rsidRPr="00E57A08">
        <w:rPr>
          <w:lang w:val="en-GB"/>
        </w:rPr>
        <w:t xml:space="preserve"> the energy consumption of a decanter </w:t>
      </w:r>
      <w:r w:rsidR="00FD3C86">
        <w:rPr>
          <w:lang w:val="en-GB"/>
        </w:rPr>
        <w:t>centrifuge</w:t>
      </w:r>
      <w:r w:rsidR="00FD3C86" w:rsidRPr="00E57A08">
        <w:rPr>
          <w:lang w:val="en-GB"/>
        </w:rPr>
        <w:t xml:space="preserve"> </w:t>
      </w:r>
      <w:r w:rsidRPr="00E57A08">
        <w:rPr>
          <w:lang w:val="en-GB"/>
        </w:rPr>
        <w:t>during the slu</w:t>
      </w:r>
      <w:bookmarkStart w:id="0" w:name="_GoBack"/>
      <w:bookmarkEnd w:id="0"/>
      <w:r w:rsidRPr="00E57A08">
        <w:rPr>
          <w:lang w:val="en-GB"/>
        </w:rPr>
        <w:t>dge dewatering process.</w:t>
      </w:r>
      <w:r w:rsidR="00D53092">
        <w:rPr>
          <w:lang w:val="en-GB"/>
        </w:rPr>
        <w:t xml:space="preserve"> </w:t>
      </w:r>
      <w:r w:rsidRPr="00E57A08">
        <w:rPr>
          <w:lang w:val="en-GB"/>
        </w:rPr>
        <w:t xml:space="preserve">An experimental plan to measure the energy consumption of the decanter fed with sludge at three different flow rates and different </w:t>
      </w:r>
      <w:r w:rsidR="00FD3C86">
        <w:rPr>
          <w:lang w:val="en-GB"/>
        </w:rPr>
        <w:t>differential speed</w:t>
      </w:r>
      <w:r w:rsidR="00FD3C86" w:rsidRPr="00E57A08">
        <w:rPr>
          <w:lang w:val="en-GB"/>
        </w:rPr>
        <w:t xml:space="preserve"> </w:t>
      </w:r>
      <w:r w:rsidRPr="00E57A08">
        <w:rPr>
          <w:lang w:val="en-GB"/>
        </w:rPr>
        <w:t>values between bowl and s</w:t>
      </w:r>
      <w:r>
        <w:rPr>
          <w:lang w:val="en-GB"/>
        </w:rPr>
        <w:t>c</w:t>
      </w:r>
      <w:r w:rsidRPr="00E57A08">
        <w:rPr>
          <w:lang w:val="en-GB"/>
        </w:rPr>
        <w:t>rew (</w:t>
      </w:r>
      <w:r>
        <w:t>Δn</w:t>
      </w:r>
      <w:r w:rsidRPr="00E57A08">
        <w:rPr>
          <w:lang w:val="en-GB"/>
        </w:rPr>
        <w:t>) was carried out.</w:t>
      </w:r>
      <w:r w:rsidR="00D53092">
        <w:rPr>
          <w:lang w:val="en-GB"/>
        </w:rPr>
        <w:t xml:space="preserve"> </w:t>
      </w:r>
      <w:r w:rsidR="00367BB9" w:rsidRPr="00367BB9">
        <w:rPr>
          <w:lang w:val="en-GB"/>
        </w:rPr>
        <w:t>The trend of the energy withdrawn from power supply as a function of the energy consumed by the bowl motor and the trend of the energy drawn from bowl motor as a function of that recovered from the regenerative braking system has been identified.</w:t>
      </w:r>
      <w:r w:rsidR="00367BB9">
        <w:rPr>
          <w:lang w:val="en-GB"/>
        </w:rPr>
        <w:t xml:space="preserve"> </w:t>
      </w:r>
      <w:r w:rsidR="00367BB9" w:rsidRPr="00367BB9">
        <w:rPr>
          <w:lang w:val="en-GB"/>
        </w:rPr>
        <w:t>Finally, the consumption of the bowl motor and of the energy taken from the main</w:t>
      </w:r>
      <w:r w:rsidR="00FD3C86">
        <w:rPr>
          <w:lang w:val="en-GB"/>
        </w:rPr>
        <w:t>s</w:t>
      </w:r>
      <w:r w:rsidR="00367BB9" w:rsidRPr="00367BB9">
        <w:rPr>
          <w:lang w:val="en-GB"/>
        </w:rPr>
        <w:t xml:space="preserve"> as a function of the flow rate has been determined.</w:t>
      </w:r>
      <w:r w:rsidR="00D53092">
        <w:rPr>
          <w:lang w:val="en-GB"/>
        </w:rPr>
        <w:t xml:space="preserve"> </w:t>
      </w:r>
      <w:r w:rsidR="00455860" w:rsidRPr="00455860">
        <w:rPr>
          <w:lang w:val="en-GB"/>
        </w:rPr>
        <w:t>The results show that the energy drawn from the grid and the energy regenerated by the regenerative braking system is linearly correlated with the energy consumed by the main electric motor and with the sludge feed rate.</w:t>
      </w:r>
      <w:r w:rsidR="00455860">
        <w:rPr>
          <w:lang w:val="en-GB"/>
        </w:rPr>
        <w:t xml:space="preserve"> </w:t>
      </w:r>
      <w:r w:rsidR="00DE020B">
        <w:rPr>
          <w:lang w:val="en-GB"/>
        </w:rPr>
        <w:t xml:space="preserve">In </w:t>
      </w:r>
      <w:r w:rsidR="00D53092">
        <w:rPr>
          <w:lang w:val="en-GB"/>
        </w:rPr>
        <w:t>addition,</w:t>
      </w:r>
      <w:r w:rsidR="00DE020B">
        <w:rPr>
          <w:lang w:val="en-GB"/>
        </w:rPr>
        <w:t xml:space="preserve"> </w:t>
      </w:r>
      <w:r w:rsidR="00DE020B" w:rsidRPr="00DE020B">
        <w:rPr>
          <w:lang w:val="en-GB"/>
        </w:rPr>
        <w:t>as the flow rate increases, the power recovered is about ¼ of that consumed.</w:t>
      </w:r>
      <w:r w:rsidR="0024655C">
        <w:rPr>
          <w:lang w:val="en-GB"/>
        </w:rPr>
        <w:t xml:space="preserve"> </w:t>
      </w:r>
      <w:r w:rsidR="00455860" w:rsidRPr="00455860">
        <w:rPr>
          <w:lang w:val="en-GB"/>
        </w:rPr>
        <w:t>A high correlation of the developed models has been detected.</w:t>
      </w:r>
      <w:r w:rsidR="00D53092">
        <w:rPr>
          <w:lang w:val="en-GB"/>
        </w:rPr>
        <w:t xml:space="preserve"> </w:t>
      </w:r>
      <w:r w:rsidR="00455860" w:rsidRPr="00455860">
        <w:t>The models developed can be used to provide valuable information about energy use patterns and can be used to identify areas where energy efficiency measures can be implemented.</w:t>
      </w:r>
    </w:p>
    <w:p w14:paraId="476B2F2E" w14:textId="77777777" w:rsidR="00600535" w:rsidRPr="00B57B36" w:rsidRDefault="00600535" w:rsidP="00600535">
      <w:pPr>
        <w:pStyle w:val="CETHeading1"/>
        <w:rPr>
          <w:lang w:val="en-GB"/>
        </w:rPr>
      </w:pPr>
      <w:r w:rsidRPr="00B57B36">
        <w:rPr>
          <w:lang w:val="en-GB"/>
        </w:rPr>
        <w:t>Introduction</w:t>
      </w:r>
    </w:p>
    <w:p w14:paraId="48F6CBF1" w14:textId="6AFE72E0" w:rsidR="00A400E0" w:rsidRPr="00A400E0" w:rsidRDefault="006E6C06" w:rsidP="00A400E0">
      <w:pPr>
        <w:pStyle w:val="CETBodytext"/>
        <w:rPr>
          <w:lang w:val="en-GB"/>
        </w:rPr>
      </w:pPr>
      <w:r w:rsidRPr="006E6C06">
        <w:rPr>
          <w:lang w:val="en-GB"/>
        </w:rPr>
        <w:t>According to the International Energy Agency (IEA), the global electricity consumption in 2020 was about 22,315 TWh. This represents a decrease of about 1.5% compared to the previous year, primarily due to the COVID-19 pandemic and its impact on economic activity.</w:t>
      </w:r>
      <w:r w:rsidR="00076479">
        <w:rPr>
          <w:lang w:val="en-GB"/>
        </w:rPr>
        <w:t xml:space="preserve"> </w:t>
      </w:r>
      <w:r w:rsidRPr="006E6C06">
        <w:rPr>
          <w:lang w:val="en-GB"/>
        </w:rPr>
        <w:t>The demand for electricity is expected to continue to grow in the coming years, driven by population growth, urbanization, and economic development</w:t>
      </w:r>
      <w:r w:rsidR="00076479">
        <w:rPr>
          <w:lang w:val="en-GB"/>
        </w:rPr>
        <w:t xml:space="preserve"> </w:t>
      </w:r>
      <w:r w:rsidR="00076479" w:rsidRPr="002D4800">
        <w:rPr>
          <w:lang w:val="en-GB"/>
        </w:rPr>
        <w:t>(</w:t>
      </w:r>
      <w:r w:rsidR="007B307F" w:rsidRPr="002D4800">
        <w:rPr>
          <w:lang w:val="en-GB"/>
        </w:rPr>
        <w:t>IEA. World Energy Outlook 2020</w:t>
      </w:r>
      <w:r w:rsidR="00076479" w:rsidRPr="002D4800">
        <w:rPr>
          <w:lang w:val="en-GB"/>
        </w:rPr>
        <w:t xml:space="preserve">, </w:t>
      </w:r>
      <w:r w:rsidR="007B307F" w:rsidRPr="002D4800">
        <w:rPr>
          <w:lang w:val="en-GB"/>
        </w:rPr>
        <w:t>IEA. World Energy Model Documentation</w:t>
      </w:r>
      <w:r w:rsidR="00076479" w:rsidRPr="002D4800">
        <w:rPr>
          <w:lang w:val="en-GB"/>
        </w:rPr>
        <w:t>).</w:t>
      </w:r>
      <w:r w:rsidR="00D53092">
        <w:rPr>
          <w:lang w:val="en-GB"/>
        </w:rPr>
        <w:t xml:space="preserve"> </w:t>
      </w:r>
      <w:r w:rsidRPr="006E6C06">
        <w:rPr>
          <w:lang w:val="en-GB"/>
        </w:rPr>
        <w:t xml:space="preserve">However, </w:t>
      </w:r>
      <w:r w:rsidR="00F7234A">
        <w:rPr>
          <w:lang w:val="en-GB"/>
        </w:rPr>
        <w:t xml:space="preserve">the </w:t>
      </w:r>
      <w:r w:rsidRPr="006E6C06">
        <w:rPr>
          <w:lang w:val="en-GB"/>
        </w:rPr>
        <w:t xml:space="preserve">efforts to promote energy efficiency and increase the use of renewable energy sources can help to mitigate this growth and promote a more sustainable energy </w:t>
      </w:r>
      <w:r w:rsidRPr="0085225D">
        <w:rPr>
          <w:lang w:val="en-GB"/>
        </w:rPr>
        <w:t>future</w:t>
      </w:r>
      <w:r w:rsidR="00076479" w:rsidRPr="0085225D">
        <w:rPr>
          <w:lang w:val="en-GB"/>
        </w:rPr>
        <w:t xml:space="preserve"> </w:t>
      </w:r>
      <w:r w:rsidR="00076479" w:rsidRPr="002D4800">
        <w:rPr>
          <w:lang w:val="en-GB"/>
        </w:rPr>
        <w:t>(</w:t>
      </w:r>
      <w:r w:rsidR="0085225D" w:rsidRPr="0085225D">
        <w:t xml:space="preserve">Sarkodie </w:t>
      </w:r>
      <w:r w:rsidR="00E31A01" w:rsidRPr="0085225D">
        <w:t>et al</w:t>
      </w:r>
      <w:r w:rsidR="0085225D" w:rsidRPr="0085225D">
        <w:t>., 2020</w:t>
      </w:r>
      <w:r w:rsidR="00076479" w:rsidRPr="002D4800">
        <w:rPr>
          <w:lang w:val="en-GB"/>
        </w:rPr>
        <w:t>)</w:t>
      </w:r>
      <w:r w:rsidRPr="0085225D">
        <w:rPr>
          <w:lang w:val="en-GB"/>
        </w:rPr>
        <w:t>.</w:t>
      </w:r>
      <w:r>
        <w:rPr>
          <w:lang w:val="en-GB"/>
        </w:rPr>
        <w:t xml:space="preserve"> </w:t>
      </w:r>
      <w:r w:rsidR="00A400E0" w:rsidRPr="00A400E0">
        <w:rPr>
          <w:lang w:val="en-GB"/>
        </w:rPr>
        <w:t>The reduction of energy consumption can be effective only if a set of strategies are implemented in the energy use chain, which can be large-scale such as the use of energy from renewable sources</w:t>
      </w:r>
      <w:r w:rsidR="000F42FD">
        <w:rPr>
          <w:lang w:val="en-GB"/>
        </w:rPr>
        <w:t xml:space="preserve"> </w:t>
      </w:r>
      <w:r w:rsidR="00A400E0" w:rsidRPr="00A400E0">
        <w:rPr>
          <w:lang w:val="en-GB"/>
        </w:rPr>
        <w:t>to small-scale solutions such as optimizing plants of lighting</w:t>
      </w:r>
      <w:r w:rsidR="000F42FD">
        <w:rPr>
          <w:lang w:val="en-GB"/>
        </w:rPr>
        <w:t xml:space="preserve"> </w:t>
      </w:r>
      <w:r w:rsidR="000F42FD" w:rsidRPr="002D4800">
        <w:rPr>
          <w:lang w:val="en-GB"/>
        </w:rPr>
        <w:t>(</w:t>
      </w:r>
      <w:r w:rsidR="0085225D" w:rsidRPr="00C45160">
        <w:t>Qusay</w:t>
      </w:r>
      <w:r w:rsidR="0085225D">
        <w:t xml:space="preserve"> et al., 2023; </w:t>
      </w:r>
      <w:r w:rsidR="003B5EB3">
        <w:t>Jun</w:t>
      </w:r>
      <w:r w:rsidR="003B5EB3" w:rsidRPr="003B5EB3" w:rsidDel="0085225D">
        <w:rPr>
          <w:lang w:val="en-GB"/>
        </w:rPr>
        <w:t xml:space="preserve"> </w:t>
      </w:r>
      <w:r w:rsidR="00E31A01">
        <w:rPr>
          <w:lang w:val="en-GB"/>
        </w:rPr>
        <w:t>et al</w:t>
      </w:r>
      <w:r w:rsidR="003B5EB3">
        <w:rPr>
          <w:lang w:val="en-GB"/>
        </w:rPr>
        <w:t>., 2020</w:t>
      </w:r>
      <w:r w:rsidR="000F42FD" w:rsidRPr="002D4800">
        <w:rPr>
          <w:lang w:val="en-GB"/>
        </w:rPr>
        <w:t>)</w:t>
      </w:r>
      <w:r w:rsidR="00A400E0" w:rsidRPr="0085225D">
        <w:rPr>
          <w:lang w:val="en-GB"/>
        </w:rPr>
        <w:t>.</w:t>
      </w:r>
      <w:r w:rsidR="00D53092">
        <w:rPr>
          <w:lang w:val="en-GB"/>
        </w:rPr>
        <w:t xml:space="preserve"> </w:t>
      </w:r>
      <w:r w:rsidR="00A400E0" w:rsidRPr="00A400E0">
        <w:rPr>
          <w:lang w:val="en-GB"/>
        </w:rPr>
        <w:t>To optimize the efficiency of the electric motors by reducing electricity consumption, a variable frequency drive (VFD) device can be implemented</w:t>
      </w:r>
      <w:r w:rsidR="00B31139">
        <w:rPr>
          <w:lang w:val="en-GB"/>
        </w:rPr>
        <w:t xml:space="preserve"> (</w:t>
      </w:r>
      <w:r w:rsidR="0077201B" w:rsidRPr="002D4800">
        <w:t xml:space="preserve">Tan </w:t>
      </w:r>
      <w:r w:rsidR="00E31A01" w:rsidRPr="00E31A01">
        <w:t>et al</w:t>
      </w:r>
      <w:r w:rsidR="0077201B" w:rsidRPr="002D4800">
        <w:t xml:space="preserve">, 2020; Abdelsalam </w:t>
      </w:r>
      <w:r w:rsidR="00E31A01" w:rsidRPr="002D4800">
        <w:t>et al</w:t>
      </w:r>
      <w:r w:rsidR="0077201B" w:rsidRPr="002D4800">
        <w:t>., 2022</w:t>
      </w:r>
      <w:r w:rsidR="00B31139" w:rsidRPr="002D4800">
        <w:t>).</w:t>
      </w:r>
      <w:r w:rsidR="00921634">
        <w:t xml:space="preserve"> </w:t>
      </w:r>
      <w:r w:rsidR="00A400E0" w:rsidRPr="00A400E0">
        <w:rPr>
          <w:lang w:val="en-GB"/>
        </w:rPr>
        <w:t>A variable frequency drive (VFD) is an electronic device that can control the speed of an electric motor by varying the frequency of the electrical power supplied to the motor. VFDs can help to save energy in several ways:</w:t>
      </w:r>
    </w:p>
    <w:p w14:paraId="33594A52" w14:textId="1B60D8A9" w:rsidR="00A400E0" w:rsidRPr="00A400E0" w:rsidRDefault="00A400E0" w:rsidP="009522B8">
      <w:pPr>
        <w:pStyle w:val="CETnumberingbullets"/>
      </w:pPr>
      <w:r w:rsidRPr="00A400E0">
        <w:t xml:space="preserve">Energy efficiency: </w:t>
      </w:r>
      <w:r w:rsidR="00FD3C86">
        <w:t>b</w:t>
      </w:r>
      <w:r w:rsidR="00FD3C86" w:rsidRPr="00A400E0">
        <w:t xml:space="preserve">y </w:t>
      </w:r>
      <w:r w:rsidRPr="00A400E0">
        <w:t>adjusting the speed of the motor to match the load requirements, VFDs can reduce energy losses and improve the efficiency of the motor.</w:t>
      </w:r>
    </w:p>
    <w:p w14:paraId="1EDCFE31" w14:textId="77777777" w:rsidR="00A400E0" w:rsidRPr="00A400E0" w:rsidRDefault="00A400E0" w:rsidP="009522B8">
      <w:pPr>
        <w:pStyle w:val="CETnumberingbullets"/>
      </w:pPr>
      <w:r w:rsidRPr="00A400E0">
        <w:t>Load management: VFDs can help to manage the load on a system by adjusting the amount of power supplied to the load, reducing the overall energy consumption.</w:t>
      </w:r>
    </w:p>
    <w:p w14:paraId="1A7038EF" w14:textId="5291A55E" w:rsidR="00E02B70" w:rsidRDefault="00A400E0" w:rsidP="009522B8">
      <w:pPr>
        <w:pStyle w:val="CETnumberingbullets"/>
      </w:pPr>
      <w:r w:rsidRPr="00A400E0">
        <w:t>Soft starting: VFDs can provide a soft start to a motor, gradually increasing the speed and reducing the starting current, which can reduce stress on the motor and improve its lifespan.</w:t>
      </w:r>
    </w:p>
    <w:p w14:paraId="45AC6084" w14:textId="08DDFEC8" w:rsidR="002E6F42" w:rsidRDefault="00A400E0" w:rsidP="00920D75">
      <w:pPr>
        <w:pStyle w:val="CETBodytext"/>
        <w:rPr>
          <w:lang w:val="en-GB"/>
        </w:rPr>
      </w:pPr>
      <w:r w:rsidRPr="00A400E0">
        <w:rPr>
          <w:lang w:val="en-GB"/>
        </w:rPr>
        <w:t>A further function of the VFD is to control the electric motors by managing the regenerative braking.</w:t>
      </w:r>
      <w:r w:rsidR="00921634">
        <w:rPr>
          <w:lang w:val="en-GB"/>
        </w:rPr>
        <w:t xml:space="preserve"> </w:t>
      </w:r>
      <w:r w:rsidR="0015297B">
        <w:rPr>
          <w:lang w:val="en-GB"/>
        </w:rPr>
        <w:t>In fact</w:t>
      </w:r>
      <w:r>
        <w:rPr>
          <w:lang w:val="en-GB"/>
        </w:rPr>
        <w:t xml:space="preserve"> the </w:t>
      </w:r>
      <w:r w:rsidRPr="00A400E0">
        <w:rPr>
          <w:lang w:val="en-GB"/>
        </w:rPr>
        <w:t xml:space="preserve">VFDs can be used to control motors that operate in applications where the motor may act as a generator, such as in centrifugal decanter machine. In these cases, the VFD can use regenerative braking of the screw of the decanter to convert the kinetic energy of the load into electrical energy, which can be fed back into the power </w:t>
      </w:r>
      <w:r w:rsidRPr="00A400E0">
        <w:rPr>
          <w:lang w:val="en-GB"/>
        </w:rPr>
        <w:lastRenderedPageBreak/>
        <w:t xml:space="preserve">grid, reducing energy </w:t>
      </w:r>
      <w:r w:rsidRPr="0077201B">
        <w:rPr>
          <w:lang w:val="en-GB"/>
        </w:rPr>
        <w:t>consumption</w:t>
      </w:r>
      <w:r w:rsidR="009522B8" w:rsidRPr="0077201B">
        <w:rPr>
          <w:lang w:val="en-GB"/>
        </w:rPr>
        <w:t xml:space="preserve"> </w:t>
      </w:r>
      <w:r w:rsidR="009522B8" w:rsidRPr="002D4800">
        <w:rPr>
          <w:lang w:val="en-GB"/>
        </w:rPr>
        <w:t>(</w:t>
      </w:r>
      <w:r w:rsidR="0077201B" w:rsidRPr="002D4800">
        <w:rPr>
          <w:lang w:val="en-GB"/>
        </w:rPr>
        <w:t>Tamborrino et al., 2015</w:t>
      </w:r>
      <w:r w:rsidR="009522B8" w:rsidRPr="002D4800">
        <w:rPr>
          <w:lang w:val="en-GB"/>
        </w:rPr>
        <w:t>)</w:t>
      </w:r>
      <w:r w:rsidRPr="002D4800">
        <w:rPr>
          <w:lang w:val="en-GB"/>
        </w:rPr>
        <w:t>.</w:t>
      </w:r>
      <w:r w:rsidR="00D53092">
        <w:rPr>
          <w:lang w:val="en-GB"/>
        </w:rPr>
        <w:t xml:space="preserve"> </w:t>
      </w:r>
      <w:r w:rsidR="009522B8" w:rsidRPr="0077201B">
        <w:t xml:space="preserve">The decanter is a machine that performs the separation of solids from liquids by centrifugation and is used in many industrial fields and in the food industry </w:t>
      </w:r>
      <w:r w:rsidR="009522B8" w:rsidRPr="002D4800">
        <w:t>(</w:t>
      </w:r>
      <w:r w:rsidR="00B22285" w:rsidRPr="002D4800">
        <w:t>Squeo et al., 2017; Caponio</w:t>
      </w:r>
      <w:r w:rsidR="00B22285" w:rsidRPr="00B22285">
        <w:t xml:space="preserve"> e</w:t>
      </w:r>
      <w:r w:rsidR="00B22285" w:rsidRPr="002D4800">
        <w:t>t al, 2019; Tamborrino et al., 2022; Leone et al., 2022</w:t>
      </w:r>
      <w:r w:rsidR="009522B8" w:rsidRPr="002D4800">
        <w:t>).</w:t>
      </w:r>
      <w:r w:rsidR="00D53092">
        <w:t xml:space="preserve"> </w:t>
      </w:r>
      <w:r w:rsidR="00920D75" w:rsidRPr="00920D75">
        <w:rPr>
          <w:lang w:val="en-GB"/>
        </w:rPr>
        <w:t>In the sludge purification process, thickening or dewatering is a phase in which the sludge, coming from the purification cycles, is subjected, which aims to reduce the moisture present in the sludge itself.</w:t>
      </w:r>
      <w:r w:rsidR="002E6F42" w:rsidRPr="00920D75">
        <w:rPr>
          <w:lang w:val="en-GB"/>
        </w:rPr>
        <w:t xml:space="preserve"> </w:t>
      </w:r>
      <w:r w:rsidR="00920D75" w:rsidRPr="00920D75">
        <w:rPr>
          <w:lang w:val="en-GB"/>
        </w:rPr>
        <w:t xml:space="preserve">In purification plants, the dynamic thickening process by centrifugation with three-phase decanters is often used. </w:t>
      </w:r>
      <w:r w:rsidR="00D07EDB" w:rsidRPr="00D07EDB">
        <w:rPr>
          <w:lang w:val="en-GB"/>
        </w:rPr>
        <w:t xml:space="preserve">In the present study, the energy consumption of a decanter machine during sludge dewatering processing in a waste purification industry has been analysed. A mapping of energy consumption was detected </w:t>
      </w:r>
      <w:r w:rsidR="00F070F6" w:rsidRPr="00D07EDB">
        <w:rPr>
          <w:lang w:val="en-GB"/>
        </w:rPr>
        <w:t>to</w:t>
      </w:r>
      <w:r w:rsidR="00D07EDB" w:rsidRPr="00D07EDB">
        <w:rPr>
          <w:lang w:val="en-GB"/>
        </w:rPr>
        <w:t xml:space="preserve"> evaluate the energy recovered by the regenerative braking system as a function of the investigated process parameters.</w:t>
      </w:r>
    </w:p>
    <w:p w14:paraId="5741900F" w14:textId="35677361" w:rsidR="00453E24" w:rsidRDefault="00F070F6" w:rsidP="00453E24">
      <w:pPr>
        <w:pStyle w:val="CETHeading1"/>
      </w:pPr>
      <w:r w:rsidRPr="00F070F6">
        <w:t>Materials and methods</w:t>
      </w:r>
    </w:p>
    <w:p w14:paraId="3D7D6FC9" w14:textId="603E6C8C" w:rsidR="005C4EDB" w:rsidRDefault="005C4EDB" w:rsidP="005C4EDB">
      <w:pPr>
        <w:pStyle w:val="CETheadingx"/>
      </w:pPr>
      <w:r>
        <w:t>Decanter machine</w:t>
      </w:r>
    </w:p>
    <w:p w14:paraId="09406386" w14:textId="1D1E8EB8" w:rsidR="00453E24" w:rsidRDefault="00594256" w:rsidP="00457FF8">
      <w:pPr>
        <w:pStyle w:val="CETBodytext"/>
      </w:pPr>
      <w:r>
        <w:t xml:space="preserve">During the tests a three-phase decanter </w:t>
      </w:r>
      <w:r w:rsidR="007A6745">
        <w:t>machine</w:t>
      </w:r>
      <w:r>
        <w:t xml:space="preserve"> has </w:t>
      </w:r>
      <w:r w:rsidR="007C5C02">
        <w:t>been</w:t>
      </w:r>
      <w:r>
        <w:t xml:space="preserve"> used.</w:t>
      </w:r>
      <w:r w:rsidR="00D53092">
        <w:t xml:space="preserve"> </w:t>
      </w:r>
      <w:r>
        <w:t xml:space="preserve">The main component of the decanter is a rotating body consisting of an external bowl with a cylindrical and conical shape and an internal </w:t>
      </w:r>
      <w:r w:rsidRPr="00500565">
        <w:t>screw</w:t>
      </w:r>
      <w:r w:rsidR="009522B8" w:rsidRPr="00500565">
        <w:t xml:space="preserve"> </w:t>
      </w:r>
      <w:r w:rsidR="009522B8" w:rsidRPr="002D4800">
        <w:t>(</w:t>
      </w:r>
      <w:r w:rsidR="00500565" w:rsidRPr="002D4800">
        <w:t>Leone et al., 2015</w:t>
      </w:r>
      <w:r w:rsidR="009522B8" w:rsidRPr="002D4800">
        <w:t>)</w:t>
      </w:r>
      <w:r w:rsidRPr="002D4800">
        <w:t>.</w:t>
      </w:r>
      <w:r w:rsidRPr="00500565">
        <w:t xml:space="preserve"> Bowl</w:t>
      </w:r>
      <w:r>
        <w:t xml:space="preserve"> is driven by a 75 kW "Main Motor M1", while the screw is driven by the "Secondary Motor M2". Both motor M1 and motor M2 are equipped with variable frequency drive (VFD). The M2 VFD is of the regenerative type. Regenerative inverters allow energy to be recovered and poured into the grid, so that it can be used to power other equipment. The drive contains all the components needed to operate in regenerative mode, from the active power supply to the LCL line filter. The active power supply maintains full power flow in both motor and generation modes. During the process the VFD of the secondary motor M2, working in regenerative mode, through the connection that is defined as DC BUS in the machine diagram, recovers energy used to feed, totally or in part, the main motor M1.</w:t>
      </w:r>
      <w:r w:rsidR="00D53092">
        <w:t xml:space="preserve"> </w:t>
      </w:r>
      <w:r w:rsidR="00457FF8">
        <w:t xml:space="preserve">To evaluate the energy consumption of the decanter and investigate about the energy recovery of </w:t>
      </w:r>
      <w:bookmarkStart w:id="1" w:name="OLE_LINK1"/>
      <w:r w:rsidR="00457FF8">
        <w:t>the regenerative braking system</w:t>
      </w:r>
      <w:bookmarkEnd w:id="1"/>
      <w:r w:rsidR="00457FF8">
        <w:t>, a sludge dewatering test program was performed.</w:t>
      </w:r>
      <w:r w:rsidR="00D53092">
        <w:t xml:space="preserve"> </w:t>
      </w:r>
      <w:r w:rsidR="00457FF8">
        <w:t>Three different sludge feed rates were investigated</w:t>
      </w:r>
      <w:r w:rsidR="007C5C02">
        <w:t xml:space="preserve"> </w:t>
      </w:r>
      <w:r w:rsidR="00457FF8">
        <w:t>from 15m</w:t>
      </w:r>
      <w:r w:rsidR="00457FF8" w:rsidRPr="005C4DA0">
        <w:rPr>
          <w:vertAlign w:val="superscript"/>
        </w:rPr>
        <w:t>3</w:t>
      </w:r>
      <w:r w:rsidR="005C4DA0">
        <w:t>h</w:t>
      </w:r>
      <w:r w:rsidR="00457FF8" w:rsidRPr="005C4DA0">
        <w:rPr>
          <w:vertAlign w:val="superscript"/>
        </w:rPr>
        <w:t>-1</w:t>
      </w:r>
      <w:r w:rsidR="005C4DA0">
        <w:t>, 20m</w:t>
      </w:r>
      <w:r w:rsidR="005C4DA0" w:rsidRPr="005C4DA0">
        <w:rPr>
          <w:vertAlign w:val="superscript"/>
        </w:rPr>
        <w:t>3</w:t>
      </w:r>
      <w:r w:rsidR="005C4DA0">
        <w:t>h</w:t>
      </w:r>
      <w:r w:rsidR="005C4DA0" w:rsidRPr="005C4DA0">
        <w:rPr>
          <w:vertAlign w:val="superscript"/>
        </w:rPr>
        <w:t>-1</w:t>
      </w:r>
      <w:r w:rsidR="005C4DA0">
        <w:t xml:space="preserve"> </w:t>
      </w:r>
      <w:r w:rsidR="00457FF8">
        <w:t>to 25</w:t>
      </w:r>
      <w:r w:rsidR="005C4DA0">
        <w:t>m</w:t>
      </w:r>
      <w:r w:rsidR="005C4DA0" w:rsidRPr="005C4DA0">
        <w:rPr>
          <w:vertAlign w:val="superscript"/>
        </w:rPr>
        <w:t>3</w:t>
      </w:r>
      <w:r w:rsidR="005C4DA0">
        <w:t>h</w:t>
      </w:r>
      <w:r w:rsidR="005C4DA0" w:rsidRPr="005C4DA0">
        <w:rPr>
          <w:vertAlign w:val="superscript"/>
        </w:rPr>
        <w:t>-1</w:t>
      </w:r>
      <w:r w:rsidR="005C4DA0" w:rsidRPr="005C4DA0">
        <w:t xml:space="preserve"> </w:t>
      </w:r>
      <w:r w:rsidR="00457FF8">
        <w:t xml:space="preserve">and for each flow rate the variation of the number of rotations between the drum and the </w:t>
      </w:r>
      <w:r w:rsidR="00A1406F">
        <w:t>screw</w:t>
      </w:r>
      <w:r w:rsidR="00457FF8">
        <w:t xml:space="preserve"> (Δ</w:t>
      </w:r>
      <w:r w:rsidR="00E57A08">
        <w:t>n</w:t>
      </w:r>
      <w:r w:rsidR="00457FF8">
        <w:t>) from 2.8 to 6.0 was adjusted.</w:t>
      </w:r>
    </w:p>
    <w:p w14:paraId="0B922488" w14:textId="7FA77E47" w:rsidR="007C5C02" w:rsidRDefault="007C5C02" w:rsidP="007C5C02">
      <w:pPr>
        <w:pStyle w:val="CETheadingx"/>
      </w:pPr>
      <w:r w:rsidRPr="007C5C02">
        <w:t>Electricity consumption measurement system</w:t>
      </w:r>
    </w:p>
    <w:p w14:paraId="7563D110" w14:textId="52D211DD" w:rsidR="007C5C02" w:rsidRDefault="007C5C02" w:rsidP="007C5C02">
      <w:pPr>
        <w:pStyle w:val="CETBodytext"/>
      </w:pPr>
      <w:r>
        <w:t xml:space="preserve">Three compact </w:t>
      </w:r>
      <w:r w:rsidR="005D6E5F" w:rsidRPr="00D24213">
        <w:rPr>
          <w:bCs/>
        </w:rPr>
        <w:t>energy meters</w:t>
      </w:r>
      <w:r w:rsidR="005D6E5F">
        <w:rPr>
          <w:bCs/>
        </w:rPr>
        <w:t xml:space="preserve"> </w:t>
      </w:r>
      <w:r>
        <w:t>LV001, LV002 and LV003 had been connected.</w:t>
      </w:r>
      <w:r w:rsidR="00D53092">
        <w:t xml:space="preserve"> </w:t>
      </w:r>
      <w:r w:rsidR="005D6E5F" w:rsidRPr="005D6E5F">
        <w:t>Figure 1 shows the electrical diagram of the decanter and the position of the energy meters</w:t>
      </w:r>
      <w:r w:rsidR="005D6E5F">
        <w:t>.</w:t>
      </w:r>
    </w:p>
    <w:p w14:paraId="727148D0" w14:textId="77777777" w:rsidR="007C5C02" w:rsidRDefault="007C5C02" w:rsidP="007C5C02">
      <w:pPr>
        <w:pStyle w:val="CETBodytext"/>
      </w:pPr>
    </w:p>
    <w:p w14:paraId="77813CB5" w14:textId="588CE1E2" w:rsidR="00E642A1" w:rsidRDefault="00F7234A" w:rsidP="00D53092">
      <w:pPr>
        <w:keepNext/>
        <w:spacing w:line="276" w:lineRule="auto"/>
        <w:jc w:val="left"/>
      </w:pPr>
      <w:r>
        <w:rPr>
          <w:noProof/>
          <w:lang w:val="it-IT" w:eastAsia="it-IT"/>
        </w:rPr>
        <w:drawing>
          <wp:inline distT="0" distB="0" distL="0" distR="0" wp14:anchorId="2FC28FFE" wp14:editId="7CCD8928">
            <wp:extent cx="5571992" cy="240030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98883" cy="2411884"/>
                    </a:xfrm>
                    <a:prstGeom prst="rect">
                      <a:avLst/>
                    </a:prstGeom>
                    <a:noFill/>
                    <a:ln>
                      <a:noFill/>
                    </a:ln>
                  </pic:spPr>
                </pic:pic>
              </a:graphicData>
            </a:graphic>
          </wp:inline>
        </w:drawing>
      </w:r>
    </w:p>
    <w:p w14:paraId="3402DB53" w14:textId="4FC9F72A" w:rsidR="00E642A1" w:rsidRDefault="00E642A1" w:rsidP="00D53092">
      <w:pPr>
        <w:spacing w:line="276" w:lineRule="auto"/>
        <w:jc w:val="left"/>
        <w:rPr>
          <w:rStyle w:val="CETCaptionCarattere"/>
          <w:lang w:val="en-US"/>
        </w:rPr>
      </w:pPr>
      <w:r w:rsidRPr="00F1207E">
        <w:rPr>
          <w:rStyle w:val="CETCaptionCarattere"/>
          <w:lang w:val="en-US"/>
        </w:rPr>
        <w:t xml:space="preserve">Figure </w:t>
      </w:r>
      <w:r w:rsidR="005C4DA0">
        <w:rPr>
          <w:rStyle w:val="CETCaptionCarattere"/>
          <w:lang w:val="en-US"/>
        </w:rPr>
        <w:t>1</w:t>
      </w:r>
      <w:r w:rsidRPr="00F1207E">
        <w:rPr>
          <w:rStyle w:val="CETCaptionCarattere"/>
          <w:lang w:val="en-US"/>
        </w:rPr>
        <w:t xml:space="preserve"> - </w:t>
      </w:r>
      <w:r w:rsidR="005D6E5F">
        <w:rPr>
          <w:rStyle w:val="CETCaptionCarattere"/>
          <w:lang w:val="en-US"/>
        </w:rPr>
        <w:t>L</w:t>
      </w:r>
      <w:r w:rsidR="005D6E5F" w:rsidRPr="00F1207E">
        <w:rPr>
          <w:rStyle w:val="CETCaptionCarattere"/>
          <w:lang w:val="en-US"/>
        </w:rPr>
        <w:t xml:space="preserve">ayout </w:t>
      </w:r>
      <w:r w:rsidR="005D6E5F">
        <w:rPr>
          <w:rStyle w:val="CETCaptionCarattere"/>
          <w:lang w:val="en-US"/>
        </w:rPr>
        <w:t>of the c</w:t>
      </w:r>
      <w:r w:rsidRPr="00F1207E">
        <w:rPr>
          <w:rStyle w:val="CETCaptionCarattere"/>
          <w:lang w:val="en-US"/>
        </w:rPr>
        <w:t xml:space="preserve">ontinuous </w:t>
      </w:r>
      <w:r w:rsidR="005D6E5F">
        <w:rPr>
          <w:rStyle w:val="CETCaptionCarattere"/>
          <w:lang w:val="en-US"/>
        </w:rPr>
        <w:t xml:space="preserve">energy </w:t>
      </w:r>
      <w:r w:rsidRPr="00F1207E">
        <w:rPr>
          <w:rStyle w:val="CETCaptionCarattere"/>
          <w:lang w:val="en-US"/>
        </w:rPr>
        <w:t xml:space="preserve">monitoring system </w:t>
      </w:r>
    </w:p>
    <w:p w14:paraId="121BEF3C" w14:textId="77777777" w:rsidR="00C93017" w:rsidRPr="00F1207E" w:rsidRDefault="00C93017" w:rsidP="00E642A1">
      <w:pPr>
        <w:spacing w:line="276" w:lineRule="auto"/>
        <w:ind w:firstLine="708"/>
        <w:jc w:val="center"/>
        <w:rPr>
          <w:rStyle w:val="CETCaptionCarattere"/>
          <w:lang w:val="en-US"/>
        </w:rPr>
      </w:pPr>
    </w:p>
    <w:p w14:paraId="6CA4C475" w14:textId="58EB6620" w:rsidR="00E642A1" w:rsidRPr="004444AB" w:rsidRDefault="005D6E5F" w:rsidP="00E642A1">
      <w:pPr>
        <w:pStyle w:val="CETBodytext"/>
      </w:pPr>
      <w:r w:rsidRPr="005D6E5F">
        <w:t>The energy meters have been positioned as shown below</w:t>
      </w:r>
      <w:r>
        <w:t>:</w:t>
      </w:r>
    </w:p>
    <w:p w14:paraId="6EDCDE01" w14:textId="24EC9325" w:rsidR="005D6E5F" w:rsidRDefault="007C5C02" w:rsidP="007C5C02">
      <w:pPr>
        <w:pStyle w:val="CETnumberingbullets"/>
      </w:pPr>
      <w:r>
        <w:t>LV001 downstream of the inverter of the main motor M1;</w:t>
      </w:r>
    </w:p>
    <w:p w14:paraId="29B0D868" w14:textId="77777777" w:rsidR="005D6E5F" w:rsidRDefault="007C5C02" w:rsidP="007C5C02">
      <w:pPr>
        <w:pStyle w:val="CETnumberingbullets"/>
      </w:pPr>
      <w:r>
        <w:t>LV002 upstream of the inverter of the main motor M2;</w:t>
      </w:r>
    </w:p>
    <w:p w14:paraId="28BE8528" w14:textId="3FA4A092" w:rsidR="007C5C02" w:rsidRDefault="007C5C02" w:rsidP="007C5C02">
      <w:pPr>
        <w:pStyle w:val="CETnumberingbullets"/>
      </w:pPr>
      <w:r>
        <w:t>LV003 upstream of the inverter of the secondary motor M2.</w:t>
      </w:r>
    </w:p>
    <w:p w14:paraId="05FDF907" w14:textId="67F02A38" w:rsidR="000A4A8D" w:rsidRPr="000A4A8D" w:rsidRDefault="007C5C02" w:rsidP="000A4A8D">
      <w:pPr>
        <w:pStyle w:val="CETBodytext"/>
      </w:pPr>
      <w:r>
        <w:t xml:space="preserve">By using a portable </w:t>
      </w:r>
      <w:r w:rsidR="005D6E5F">
        <w:t>energy</w:t>
      </w:r>
      <w:r>
        <w:t xml:space="preserve"> </w:t>
      </w:r>
      <w:r w:rsidR="003B374E">
        <w:t>analyzer (LV004),</w:t>
      </w:r>
      <w:r w:rsidR="005D6E5F">
        <w:t xml:space="preserve"> the energy recovered from the regenerative system was measured on the DC BUS</w:t>
      </w:r>
      <w:r w:rsidR="005D6E5F" w:rsidRPr="005D6E5F">
        <w:t xml:space="preserve"> </w:t>
      </w:r>
      <w:r w:rsidR="005D6E5F">
        <w:t>between</w:t>
      </w:r>
      <w:r w:rsidR="005D6E5F" w:rsidRPr="005D6E5F">
        <w:t xml:space="preserve"> </w:t>
      </w:r>
      <w:r w:rsidR="005D6E5F">
        <w:t>the two VFDs.</w:t>
      </w:r>
      <w:r w:rsidR="000A4A8D">
        <w:t xml:space="preserve"> </w:t>
      </w:r>
      <w:r w:rsidR="000A4A8D" w:rsidRPr="00B331BB">
        <w:t>Each single measurement test lasted 60 minutes.</w:t>
      </w:r>
      <w:r w:rsidR="000A4A8D">
        <w:rPr>
          <w:b/>
        </w:rPr>
        <w:t xml:space="preserve"> </w:t>
      </w:r>
      <w:r w:rsidR="000A4A8D">
        <w:t>Each individual test condition was repeated four times.</w:t>
      </w:r>
      <w:r w:rsidR="00921634">
        <w:t xml:space="preserve"> </w:t>
      </w:r>
      <w:r w:rsidR="000A4A8D">
        <w:t xml:space="preserve">TEmeter® software was used to manage the measurements. </w:t>
      </w:r>
      <w:r w:rsidR="007A6745">
        <w:t>F</w:t>
      </w:r>
      <w:r w:rsidR="000A4A8D">
        <w:t xml:space="preserve">or the entire monitoring period, the main quantities of an electric network were detected with frequency per minute as </w:t>
      </w:r>
      <w:r w:rsidR="000A4A8D">
        <w:lastRenderedPageBreak/>
        <w:t>averages of the previous 60 seconds. One measurement per minute was taken.</w:t>
      </w:r>
      <w:r w:rsidR="00921634">
        <w:t xml:space="preserve"> </w:t>
      </w:r>
      <w:r w:rsidR="009A2C1D">
        <w:t>During the measurement the following parameters was detected:</w:t>
      </w:r>
      <w:r w:rsidR="00921634">
        <w:t xml:space="preserve"> a) </w:t>
      </w:r>
      <w:r w:rsidR="009A2C1D">
        <w:t xml:space="preserve">Equivalent phase voltages and currents; </w:t>
      </w:r>
      <w:r w:rsidR="00921634">
        <w:t xml:space="preserve">b) </w:t>
      </w:r>
      <w:r w:rsidR="009A2C1D">
        <w:t xml:space="preserve">Equivalent active and reactive power; </w:t>
      </w:r>
      <w:r w:rsidR="00921634">
        <w:t xml:space="preserve">c) </w:t>
      </w:r>
      <w:r w:rsidR="009A2C1D">
        <w:t xml:space="preserve">Total displacement factor (cosφ); </w:t>
      </w:r>
      <w:r w:rsidR="00921634">
        <w:t xml:space="preserve">d) </w:t>
      </w:r>
      <w:r w:rsidR="009A2C1D">
        <w:t xml:space="preserve">Frequency; </w:t>
      </w:r>
      <w:r w:rsidR="00921634">
        <w:t xml:space="preserve">e) </w:t>
      </w:r>
      <w:r w:rsidR="009A2C1D">
        <w:t>Bidirectional active and reactive energy.</w:t>
      </w:r>
      <w:r w:rsidR="00921634">
        <w:t xml:space="preserve"> </w:t>
      </w:r>
      <w:r w:rsidR="000A4A8D">
        <w:t xml:space="preserve">In all tests the rotation speed of the bowl was 2600 </w:t>
      </w:r>
      <w:r w:rsidR="00530E01">
        <w:t>RPM</w:t>
      </w:r>
      <w:r w:rsidR="000A4A8D">
        <w:t xml:space="preserve"> and the wastewater fed to the decanter had a percentage dry matter content between 1.1% and 1.7%. In all the tests </w:t>
      </w:r>
      <w:r w:rsidR="000A4A8D" w:rsidRPr="002D4800">
        <w:t xml:space="preserve">carried out, </w:t>
      </w:r>
      <w:r w:rsidR="00FD7EF1">
        <w:t>2.5</w:t>
      </w:r>
      <w:r w:rsidR="000A4A8D" w:rsidRPr="002D4800">
        <w:t>% of liquid</w:t>
      </w:r>
      <w:r w:rsidR="000A4A8D">
        <w:t xml:space="preserve"> polymer was added to the inlet sludge.</w:t>
      </w:r>
    </w:p>
    <w:p w14:paraId="2E8743AA" w14:textId="66B1B1DE" w:rsidR="005C4DA0" w:rsidRDefault="0024655C" w:rsidP="005C4DA0">
      <w:pPr>
        <w:pStyle w:val="CETHeading1"/>
      </w:pPr>
      <w:r>
        <w:t>Results and discussion</w:t>
      </w:r>
    </w:p>
    <w:p w14:paraId="43740B54" w14:textId="3FB93B40" w:rsidR="005C4DA0" w:rsidRDefault="0073551D" w:rsidP="00457FF8">
      <w:pPr>
        <w:pStyle w:val="CETBodytext"/>
      </w:pPr>
      <w:r w:rsidRPr="0073551D">
        <w:t>Figures 2, 3</w:t>
      </w:r>
      <w:r w:rsidR="004C5F33">
        <w:t>,</w:t>
      </w:r>
      <w:r w:rsidRPr="0073551D">
        <w:t xml:space="preserve"> </w:t>
      </w:r>
      <w:r w:rsidR="007A6745">
        <w:t xml:space="preserve">Figures </w:t>
      </w:r>
      <w:r w:rsidRPr="0073551D">
        <w:t xml:space="preserve">4, 5 and </w:t>
      </w:r>
      <w:r w:rsidR="007A6745">
        <w:t xml:space="preserve">Figures </w:t>
      </w:r>
      <w:r w:rsidRPr="0073551D">
        <w:t>6, 7 show for the flow rates of 15m</w:t>
      </w:r>
      <w:r w:rsidRPr="0073551D">
        <w:rPr>
          <w:vertAlign w:val="superscript"/>
        </w:rPr>
        <w:t>3</w:t>
      </w:r>
      <w:r w:rsidR="005A52C8">
        <w:rPr>
          <w:vertAlign w:val="superscript"/>
        </w:rPr>
        <w:t xml:space="preserve"> </w:t>
      </w:r>
      <w:r w:rsidRPr="0073551D">
        <w:t>h</w:t>
      </w:r>
      <w:r w:rsidRPr="0073551D">
        <w:rPr>
          <w:vertAlign w:val="superscript"/>
        </w:rPr>
        <w:t>-1</w:t>
      </w:r>
      <w:r w:rsidRPr="0073551D">
        <w:t xml:space="preserve">, </w:t>
      </w:r>
      <w:r>
        <w:t>20</w:t>
      </w:r>
      <w:r w:rsidRPr="0073551D">
        <w:t>m</w:t>
      </w:r>
      <w:r w:rsidRPr="0073551D">
        <w:rPr>
          <w:vertAlign w:val="superscript"/>
        </w:rPr>
        <w:t>3</w:t>
      </w:r>
      <w:r w:rsidR="005A52C8">
        <w:rPr>
          <w:vertAlign w:val="superscript"/>
        </w:rPr>
        <w:t xml:space="preserve"> </w:t>
      </w:r>
      <w:r w:rsidRPr="0073551D">
        <w:t>h</w:t>
      </w:r>
      <w:r w:rsidRPr="0073551D">
        <w:rPr>
          <w:vertAlign w:val="superscript"/>
        </w:rPr>
        <w:t>-1</w:t>
      </w:r>
      <w:r w:rsidRPr="0073551D">
        <w:t xml:space="preserve"> to </w:t>
      </w:r>
      <w:r>
        <w:t>2</w:t>
      </w:r>
      <w:r w:rsidRPr="0073551D">
        <w:t>5m</w:t>
      </w:r>
      <w:r w:rsidRPr="0073551D">
        <w:rPr>
          <w:vertAlign w:val="superscript"/>
        </w:rPr>
        <w:t>3</w:t>
      </w:r>
      <w:r w:rsidR="005A52C8">
        <w:rPr>
          <w:vertAlign w:val="superscript"/>
        </w:rPr>
        <w:t xml:space="preserve"> </w:t>
      </w:r>
      <w:r w:rsidRPr="0073551D">
        <w:t>h</w:t>
      </w:r>
      <w:r w:rsidRPr="0073551D">
        <w:rPr>
          <w:vertAlign w:val="superscript"/>
        </w:rPr>
        <w:t>-1</w:t>
      </w:r>
      <w:r w:rsidR="007A6745">
        <w:t xml:space="preserve">, respectively, </w:t>
      </w:r>
      <w:r w:rsidRPr="0073551D">
        <w:t xml:space="preserve">the trend of the </w:t>
      </w:r>
      <w:r w:rsidR="006B3412">
        <w:t>power</w:t>
      </w:r>
      <w:r w:rsidR="006B3412" w:rsidRPr="0073551D">
        <w:t xml:space="preserve"> </w:t>
      </w:r>
      <w:r w:rsidRPr="0073551D">
        <w:t xml:space="preserve">withdrawn from power supply as a function of the </w:t>
      </w:r>
      <w:r w:rsidR="006B3412">
        <w:t>power</w:t>
      </w:r>
      <w:r w:rsidR="006B3412" w:rsidRPr="0073551D">
        <w:t xml:space="preserve"> </w:t>
      </w:r>
      <w:r w:rsidRPr="0073551D">
        <w:t xml:space="preserve">consumed by the main engine M1 and the trend of the </w:t>
      </w:r>
      <w:r w:rsidR="006B3412">
        <w:t>power</w:t>
      </w:r>
      <w:r w:rsidR="006B3412" w:rsidRPr="0073551D">
        <w:t xml:space="preserve"> </w:t>
      </w:r>
      <w:r w:rsidRPr="0073551D">
        <w:t>drawn from M1 as a function of that recovered from the regenerative braking system.</w:t>
      </w:r>
    </w:p>
    <w:p w14:paraId="060D0F02" w14:textId="77777777" w:rsidR="0024655C" w:rsidRDefault="0024655C" w:rsidP="00457FF8">
      <w:pPr>
        <w:pStyle w:val="CETBodytext"/>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0"/>
        <w:gridCol w:w="4407"/>
      </w:tblGrid>
      <w:tr w:rsidR="0024655C" w14:paraId="6AE907C9" w14:textId="77777777" w:rsidTr="006D6BB4">
        <w:tc>
          <w:tcPr>
            <w:tcW w:w="4388" w:type="dxa"/>
          </w:tcPr>
          <w:p w14:paraId="205EA2F2" w14:textId="21029405" w:rsidR="0024655C" w:rsidRDefault="0024655C" w:rsidP="00457FF8">
            <w:pPr>
              <w:pStyle w:val="CETBodytext"/>
            </w:pPr>
            <w:r>
              <w:rPr>
                <w:noProof/>
                <w:lang w:val="it-IT" w:eastAsia="it-IT"/>
              </w:rPr>
              <w:drawing>
                <wp:inline distT="0" distB="0" distL="0" distR="0" wp14:anchorId="7AF54779" wp14:editId="29994BEB">
                  <wp:extent cx="2644179" cy="1552575"/>
                  <wp:effectExtent l="0" t="0" r="381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83443" cy="1575629"/>
                          </a:xfrm>
                          <a:prstGeom prst="rect">
                            <a:avLst/>
                          </a:prstGeom>
                          <a:noFill/>
                        </pic:spPr>
                      </pic:pic>
                    </a:graphicData>
                  </a:graphic>
                </wp:inline>
              </w:drawing>
            </w:r>
          </w:p>
        </w:tc>
        <w:tc>
          <w:tcPr>
            <w:tcW w:w="4389" w:type="dxa"/>
          </w:tcPr>
          <w:p w14:paraId="699DEF0F" w14:textId="463FCC66" w:rsidR="0024655C" w:rsidRDefault="0024655C" w:rsidP="00457FF8">
            <w:pPr>
              <w:pStyle w:val="CETBodytext"/>
            </w:pPr>
            <w:r>
              <w:rPr>
                <w:noProof/>
                <w:lang w:val="it-IT" w:eastAsia="it-IT"/>
              </w:rPr>
              <w:drawing>
                <wp:inline distT="0" distB="0" distL="0" distR="0" wp14:anchorId="18913D19" wp14:editId="28245619">
                  <wp:extent cx="2660400" cy="1562100"/>
                  <wp:effectExtent l="0" t="0" r="6985"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84618" cy="1576320"/>
                          </a:xfrm>
                          <a:prstGeom prst="rect">
                            <a:avLst/>
                          </a:prstGeom>
                          <a:noFill/>
                        </pic:spPr>
                      </pic:pic>
                    </a:graphicData>
                  </a:graphic>
                </wp:inline>
              </w:drawing>
            </w:r>
          </w:p>
        </w:tc>
      </w:tr>
      <w:tr w:rsidR="0024655C" w14:paraId="58BB8355" w14:textId="77777777" w:rsidTr="006D6BB4">
        <w:tc>
          <w:tcPr>
            <w:tcW w:w="4388" w:type="dxa"/>
          </w:tcPr>
          <w:p w14:paraId="08DC9519" w14:textId="0AA9C639" w:rsidR="0024655C" w:rsidRDefault="0024655C" w:rsidP="0024655C">
            <w:pPr>
              <w:pStyle w:val="CETCaption"/>
              <w:spacing w:before="0" w:after="0" w:line="240" w:lineRule="auto"/>
            </w:pPr>
            <w:r w:rsidRPr="004C5F33">
              <w:rPr>
                <w:rStyle w:val="CETCaptionCarattere"/>
                <w:i/>
              </w:rPr>
              <w:t>Figure 2 – Decanter flow rate 15</w:t>
            </w:r>
            <w:r w:rsidRPr="004C5F33">
              <w:rPr>
                <w:rStyle w:val="CETCaptionCarattere"/>
              </w:rPr>
              <w:t xml:space="preserve"> </w:t>
            </w:r>
            <w:r w:rsidRPr="004C5F33">
              <w:rPr>
                <w:rStyle w:val="CETCaptionCarattere"/>
                <w:i/>
              </w:rPr>
              <w:t>m</w:t>
            </w:r>
            <w:r w:rsidRPr="004C5F33">
              <w:rPr>
                <w:rStyle w:val="CETCaptionCarattere"/>
                <w:i/>
                <w:vertAlign w:val="superscript"/>
              </w:rPr>
              <w:t>3</w:t>
            </w:r>
            <w:r>
              <w:rPr>
                <w:rStyle w:val="CETCaptionCarattere"/>
                <w:i/>
                <w:vertAlign w:val="superscript"/>
              </w:rPr>
              <w:t xml:space="preserve"> </w:t>
            </w:r>
            <w:r w:rsidRPr="004C5F33">
              <w:rPr>
                <w:rStyle w:val="CETCaptionCarattere"/>
                <w:i/>
              </w:rPr>
              <w:t>h-1. Power consumption: mains vs M1</w:t>
            </w:r>
          </w:p>
        </w:tc>
        <w:tc>
          <w:tcPr>
            <w:tcW w:w="4389" w:type="dxa"/>
          </w:tcPr>
          <w:p w14:paraId="0CE99209" w14:textId="77777777" w:rsidR="0024655C" w:rsidRDefault="0024655C" w:rsidP="0024655C">
            <w:pPr>
              <w:pStyle w:val="CETCaption"/>
              <w:spacing w:before="0" w:after="0" w:line="240" w:lineRule="auto"/>
              <w:rPr>
                <w:rStyle w:val="CETCaptionCarattere"/>
                <w:i/>
              </w:rPr>
            </w:pPr>
            <w:r w:rsidRPr="004C5F33">
              <w:rPr>
                <w:rStyle w:val="CETCaptionCarattere"/>
                <w:i/>
              </w:rPr>
              <w:t>Figure 3 - Decanter flow rate 15</w:t>
            </w:r>
            <w:r w:rsidRPr="004C5F33">
              <w:rPr>
                <w:rStyle w:val="CETCaptionCarattere"/>
              </w:rPr>
              <w:t xml:space="preserve"> </w:t>
            </w:r>
            <w:r w:rsidRPr="004C5F33">
              <w:rPr>
                <w:rStyle w:val="CETCaptionCarattere"/>
                <w:i/>
              </w:rPr>
              <w:t>m</w:t>
            </w:r>
            <w:r w:rsidRPr="004C5F33">
              <w:rPr>
                <w:rStyle w:val="CETCaptionCarattere"/>
                <w:i/>
                <w:vertAlign w:val="superscript"/>
              </w:rPr>
              <w:t>3</w:t>
            </w:r>
            <w:r>
              <w:rPr>
                <w:rStyle w:val="CETCaptionCarattere"/>
                <w:i/>
                <w:vertAlign w:val="superscript"/>
              </w:rPr>
              <w:t xml:space="preserve"> </w:t>
            </w:r>
            <w:r w:rsidRPr="004C5F33">
              <w:rPr>
                <w:rStyle w:val="CETCaptionCarattere"/>
                <w:i/>
              </w:rPr>
              <w:t>h-1. Power consumption: recovery vs mains</w:t>
            </w:r>
          </w:p>
          <w:p w14:paraId="115082ED" w14:textId="0FA375C4" w:rsidR="0024655C" w:rsidRDefault="0024655C" w:rsidP="0024655C">
            <w:pPr>
              <w:pStyle w:val="CETCaption"/>
              <w:spacing w:before="0" w:after="0" w:line="240" w:lineRule="auto"/>
            </w:pPr>
          </w:p>
        </w:tc>
      </w:tr>
      <w:tr w:rsidR="0024655C" w14:paraId="10608B88" w14:textId="77777777" w:rsidTr="006D6BB4">
        <w:tc>
          <w:tcPr>
            <w:tcW w:w="4388" w:type="dxa"/>
          </w:tcPr>
          <w:p w14:paraId="2CAA276D" w14:textId="16200C5A" w:rsidR="0024655C" w:rsidRDefault="006D6BB4" w:rsidP="00457FF8">
            <w:pPr>
              <w:pStyle w:val="CETBodytext"/>
            </w:pPr>
            <w:r>
              <w:rPr>
                <w:noProof/>
                <w:lang w:val="it-IT" w:eastAsia="it-IT"/>
              </w:rPr>
              <w:drawing>
                <wp:inline distT="0" distB="0" distL="0" distR="0" wp14:anchorId="66869D1A" wp14:editId="1C9C645F">
                  <wp:extent cx="2649564" cy="1600200"/>
                  <wp:effectExtent l="0" t="0" r="0" b="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68525" cy="1611652"/>
                          </a:xfrm>
                          <a:prstGeom prst="rect">
                            <a:avLst/>
                          </a:prstGeom>
                          <a:noFill/>
                        </pic:spPr>
                      </pic:pic>
                    </a:graphicData>
                  </a:graphic>
                </wp:inline>
              </w:drawing>
            </w:r>
          </w:p>
        </w:tc>
        <w:tc>
          <w:tcPr>
            <w:tcW w:w="4389" w:type="dxa"/>
          </w:tcPr>
          <w:p w14:paraId="16B74862" w14:textId="2F7D83E5" w:rsidR="0024655C" w:rsidRDefault="006D6BB4" w:rsidP="00457FF8">
            <w:pPr>
              <w:pStyle w:val="CETBodytext"/>
            </w:pPr>
            <w:r>
              <w:rPr>
                <w:noProof/>
                <w:lang w:val="it-IT" w:eastAsia="it-IT"/>
              </w:rPr>
              <w:drawing>
                <wp:inline distT="0" distB="0" distL="0" distR="0" wp14:anchorId="7D39AC26" wp14:editId="3D262BD6">
                  <wp:extent cx="2657175" cy="1609725"/>
                  <wp:effectExtent l="0" t="0" r="0" b="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82349" cy="1624976"/>
                          </a:xfrm>
                          <a:prstGeom prst="rect">
                            <a:avLst/>
                          </a:prstGeom>
                          <a:noFill/>
                        </pic:spPr>
                      </pic:pic>
                    </a:graphicData>
                  </a:graphic>
                </wp:inline>
              </w:drawing>
            </w:r>
          </w:p>
        </w:tc>
      </w:tr>
      <w:tr w:rsidR="0024655C" w14:paraId="39FD7435" w14:textId="77777777" w:rsidTr="006D6BB4">
        <w:tc>
          <w:tcPr>
            <w:tcW w:w="4388" w:type="dxa"/>
          </w:tcPr>
          <w:p w14:paraId="62D58F29" w14:textId="7310DA68" w:rsidR="0024655C" w:rsidRDefault="006D6BB4" w:rsidP="006D6BB4">
            <w:pPr>
              <w:pStyle w:val="CETCaption"/>
              <w:spacing w:before="0" w:after="0" w:line="240" w:lineRule="auto"/>
            </w:pPr>
            <w:r w:rsidRPr="004C5F33">
              <w:rPr>
                <w:rStyle w:val="CETCaptionCarattere"/>
                <w:i/>
              </w:rPr>
              <w:t>Figure 4 - Decanter flow rate 20</w:t>
            </w:r>
            <w:r w:rsidRPr="004C5F33">
              <w:rPr>
                <w:rStyle w:val="CETCaptionCarattere"/>
              </w:rPr>
              <w:t xml:space="preserve"> </w:t>
            </w:r>
            <w:r w:rsidRPr="004C5F33">
              <w:rPr>
                <w:rStyle w:val="CETCaptionCarattere"/>
                <w:i/>
              </w:rPr>
              <w:t>m</w:t>
            </w:r>
            <w:r w:rsidRPr="004C5F33">
              <w:rPr>
                <w:rStyle w:val="CETCaptionCarattere"/>
                <w:i/>
                <w:vertAlign w:val="superscript"/>
              </w:rPr>
              <w:t>3</w:t>
            </w:r>
            <w:r>
              <w:rPr>
                <w:rStyle w:val="CETCaptionCarattere"/>
                <w:i/>
                <w:vertAlign w:val="superscript"/>
              </w:rPr>
              <w:t xml:space="preserve"> </w:t>
            </w:r>
            <w:r w:rsidRPr="004C5F33">
              <w:rPr>
                <w:rStyle w:val="CETCaptionCarattere"/>
                <w:i/>
              </w:rPr>
              <w:t>h-1. Power consumption: mains vs M1</w:t>
            </w:r>
          </w:p>
        </w:tc>
        <w:tc>
          <w:tcPr>
            <w:tcW w:w="4389" w:type="dxa"/>
          </w:tcPr>
          <w:p w14:paraId="5683ED25" w14:textId="77777777" w:rsidR="0024655C" w:rsidRDefault="006D6BB4" w:rsidP="006D6BB4">
            <w:pPr>
              <w:pStyle w:val="CETBodytext"/>
              <w:spacing w:line="240" w:lineRule="auto"/>
              <w:rPr>
                <w:rStyle w:val="CETCaptionCarattere"/>
              </w:rPr>
            </w:pPr>
            <w:r w:rsidRPr="004C5F33">
              <w:rPr>
                <w:rStyle w:val="CETCaptionCarattere"/>
              </w:rPr>
              <w:t>Figure 5 - Decanter flow rate 20 m</w:t>
            </w:r>
            <w:r>
              <w:rPr>
                <w:rStyle w:val="CETCaptionCarattere"/>
              </w:rPr>
              <w:t xml:space="preserve"> </w:t>
            </w:r>
            <w:r w:rsidRPr="004C5F33">
              <w:rPr>
                <w:rStyle w:val="CETCaptionCarattere"/>
                <w:vertAlign w:val="superscript"/>
              </w:rPr>
              <w:t>3</w:t>
            </w:r>
            <w:r w:rsidRPr="004C5F33">
              <w:rPr>
                <w:rStyle w:val="CETCaptionCarattere"/>
              </w:rPr>
              <w:t>h-1. Power consumption: recovery vs mains</w:t>
            </w:r>
          </w:p>
          <w:p w14:paraId="35E1FEEC" w14:textId="3D7F44EC" w:rsidR="006D6BB4" w:rsidRDefault="006D6BB4" w:rsidP="006D6BB4">
            <w:pPr>
              <w:pStyle w:val="CETBodytext"/>
              <w:spacing w:line="240" w:lineRule="auto"/>
            </w:pPr>
          </w:p>
        </w:tc>
      </w:tr>
      <w:tr w:rsidR="0024655C" w14:paraId="4A215E20" w14:textId="77777777" w:rsidTr="006D6BB4">
        <w:tc>
          <w:tcPr>
            <w:tcW w:w="4388" w:type="dxa"/>
          </w:tcPr>
          <w:p w14:paraId="4B5FF23D" w14:textId="310F1780" w:rsidR="0024655C" w:rsidRDefault="006D6BB4" w:rsidP="00457FF8">
            <w:pPr>
              <w:pStyle w:val="CETBodytext"/>
            </w:pPr>
            <w:r>
              <w:rPr>
                <w:noProof/>
                <w:lang w:val="it-IT" w:eastAsia="it-IT"/>
              </w:rPr>
              <w:drawing>
                <wp:inline distT="0" distB="0" distL="0" distR="0" wp14:anchorId="2B054EF6" wp14:editId="08E73959">
                  <wp:extent cx="2649220" cy="1543689"/>
                  <wp:effectExtent l="0" t="0" r="0" b="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82965" cy="1563352"/>
                          </a:xfrm>
                          <a:prstGeom prst="rect">
                            <a:avLst/>
                          </a:prstGeom>
                          <a:noFill/>
                        </pic:spPr>
                      </pic:pic>
                    </a:graphicData>
                  </a:graphic>
                </wp:inline>
              </w:drawing>
            </w:r>
          </w:p>
        </w:tc>
        <w:tc>
          <w:tcPr>
            <w:tcW w:w="4389" w:type="dxa"/>
          </w:tcPr>
          <w:p w14:paraId="3ADCF7F6" w14:textId="0BFDD477" w:rsidR="0024655C" w:rsidRDefault="006D6BB4" w:rsidP="00457FF8">
            <w:pPr>
              <w:pStyle w:val="CETBodytext"/>
            </w:pPr>
            <w:r>
              <w:rPr>
                <w:noProof/>
                <w:lang w:val="it-IT" w:eastAsia="it-IT"/>
              </w:rPr>
              <w:drawing>
                <wp:inline distT="0" distB="0" distL="0" distR="0" wp14:anchorId="23CC98D9" wp14:editId="720CDCD3">
                  <wp:extent cx="2653570" cy="1531620"/>
                  <wp:effectExtent l="0" t="0" r="0" b="0"/>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78164" cy="1545815"/>
                          </a:xfrm>
                          <a:prstGeom prst="rect">
                            <a:avLst/>
                          </a:prstGeom>
                          <a:noFill/>
                        </pic:spPr>
                      </pic:pic>
                    </a:graphicData>
                  </a:graphic>
                </wp:inline>
              </w:drawing>
            </w:r>
          </w:p>
        </w:tc>
      </w:tr>
      <w:tr w:rsidR="0024655C" w14:paraId="13D8E85F" w14:textId="77777777" w:rsidTr="006D6BB4">
        <w:tc>
          <w:tcPr>
            <w:tcW w:w="4388" w:type="dxa"/>
          </w:tcPr>
          <w:p w14:paraId="7D24CF95" w14:textId="6E2F3CD8" w:rsidR="0024655C" w:rsidRDefault="006D6BB4" w:rsidP="006D6BB4">
            <w:pPr>
              <w:pStyle w:val="CETCaption"/>
              <w:spacing w:before="0" w:after="0" w:line="240" w:lineRule="auto"/>
            </w:pPr>
            <w:r w:rsidRPr="004C5F33">
              <w:rPr>
                <w:rStyle w:val="CETCaptionCarattere"/>
                <w:i/>
              </w:rPr>
              <w:t>Figure 6 - Decanter flow rate 25</w:t>
            </w:r>
            <w:r w:rsidRPr="004C5F33">
              <w:rPr>
                <w:rStyle w:val="CETCaptionCarattere"/>
              </w:rPr>
              <w:t xml:space="preserve"> </w:t>
            </w:r>
            <w:r w:rsidRPr="004C5F33">
              <w:rPr>
                <w:rStyle w:val="CETCaptionCarattere"/>
                <w:i/>
              </w:rPr>
              <w:t>m</w:t>
            </w:r>
            <w:r w:rsidRPr="004C5F33">
              <w:rPr>
                <w:rStyle w:val="CETCaptionCarattere"/>
                <w:i/>
                <w:vertAlign w:val="superscript"/>
              </w:rPr>
              <w:t>3</w:t>
            </w:r>
            <w:r>
              <w:rPr>
                <w:rStyle w:val="CETCaptionCarattere"/>
                <w:i/>
                <w:vertAlign w:val="superscript"/>
              </w:rPr>
              <w:t xml:space="preserve"> </w:t>
            </w:r>
            <w:r w:rsidRPr="004C5F33">
              <w:rPr>
                <w:rStyle w:val="CETCaptionCarattere"/>
                <w:i/>
              </w:rPr>
              <w:t>h-1. Power consumption: mains vs M1</w:t>
            </w:r>
          </w:p>
        </w:tc>
        <w:tc>
          <w:tcPr>
            <w:tcW w:w="4389" w:type="dxa"/>
          </w:tcPr>
          <w:p w14:paraId="083C7ECB" w14:textId="1011E54F" w:rsidR="0024655C" w:rsidRDefault="006D6BB4" w:rsidP="006D6BB4">
            <w:pPr>
              <w:pStyle w:val="CETCaption"/>
              <w:spacing w:before="0" w:after="0" w:line="240" w:lineRule="auto"/>
            </w:pPr>
            <w:r w:rsidRPr="004C5F33">
              <w:rPr>
                <w:rStyle w:val="CETCaptionCarattere"/>
                <w:i/>
              </w:rPr>
              <w:t>Figure 7 - Decanter flow rate 25</w:t>
            </w:r>
            <w:r w:rsidRPr="004C5F33">
              <w:rPr>
                <w:rStyle w:val="CETCaptionCarattere"/>
              </w:rPr>
              <w:t xml:space="preserve"> </w:t>
            </w:r>
            <w:r w:rsidRPr="004C5F33">
              <w:rPr>
                <w:rStyle w:val="CETCaptionCarattere"/>
                <w:i/>
              </w:rPr>
              <w:t>m</w:t>
            </w:r>
            <w:r w:rsidRPr="004C5F33">
              <w:rPr>
                <w:rStyle w:val="CETCaptionCarattere"/>
                <w:i/>
                <w:vertAlign w:val="superscript"/>
              </w:rPr>
              <w:t>3</w:t>
            </w:r>
            <w:r>
              <w:rPr>
                <w:rStyle w:val="CETCaptionCarattere"/>
                <w:i/>
                <w:vertAlign w:val="superscript"/>
              </w:rPr>
              <w:t xml:space="preserve"> </w:t>
            </w:r>
            <w:r w:rsidRPr="004C5F33">
              <w:rPr>
                <w:rStyle w:val="CETCaptionCarattere"/>
                <w:i/>
              </w:rPr>
              <w:t>h-1. Power consumption: recovery vs mains</w:t>
            </w:r>
          </w:p>
        </w:tc>
      </w:tr>
    </w:tbl>
    <w:p w14:paraId="7EDE4706" w14:textId="750A8EA4" w:rsidR="00C93017" w:rsidRPr="00FD7EF1" w:rsidRDefault="00C93017" w:rsidP="004C5F33">
      <w:pPr>
        <w:pStyle w:val="CETBodytext"/>
        <w:jc w:val="left"/>
      </w:pPr>
    </w:p>
    <w:p w14:paraId="37D99C73" w14:textId="2B202A27" w:rsidR="00C93017" w:rsidRPr="00C8322D" w:rsidRDefault="00C93017" w:rsidP="004C5F33">
      <w:pPr>
        <w:pStyle w:val="CETBodytext"/>
        <w:jc w:val="left"/>
      </w:pPr>
    </w:p>
    <w:p w14:paraId="56076BD2" w14:textId="207D5FEE" w:rsidR="00FF2A93" w:rsidRPr="002D4800" w:rsidRDefault="00FF2A93" w:rsidP="00FF2A93">
      <w:pPr>
        <w:pStyle w:val="CETBodytext"/>
      </w:pPr>
      <w:r w:rsidRPr="00FF2A93">
        <w:t>As shown in figure 2, 4 and 6</w:t>
      </w:r>
      <w:r w:rsidR="00742D66">
        <w:t>,</w:t>
      </w:r>
      <w:r w:rsidRPr="00FF2A93">
        <w:t xml:space="preserve"> in all flow rate conditions the </w:t>
      </w:r>
      <w:r w:rsidR="006B3412">
        <w:t>power</w:t>
      </w:r>
      <w:r w:rsidR="006B3412" w:rsidRPr="00FF2A93">
        <w:t xml:space="preserve"> </w:t>
      </w:r>
      <w:r w:rsidRPr="00FF2A93">
        <w:t xml:space="preserve">drawn from power supply is a function of the </w:t>
      </w:r>
      <w:r w:rsidR="006B3412">
        <w:t>power</w:t>
      </w:r>
      <w:r w:rsidR="006B3412" w:rsidRPr="00FF2A93">
        <w:t xml:space="preserve"> </w:t>
      </w:r>
      <w:r w:rsidRPr="00FF2A93">
        <w:t>used by the main motor</w:t>
      </w:r>
      <w:r w:rsidR="00742D66">
        <w:t>.</w:t>
      </w:r>
      <w:r w:rsidRPr="00FF2A93">
        <w:t xml:space="preserve"> </w:t>
      </w:r>
      <w:r w:rsidR="00742D66">
        <w:t>T</w:t>
      </w:r>
      <w:r w:rsidRPr="00FF2A93">
        <w:t xml:space="preserve">his trend </w:t>
      </w:r>
      <w:r w:rsidR="00742D66">
        <w:t>can be</w:t>
      </w:r>
      <w:r w:rsidR="00742D66" w:rsidRPr="00FF2A93">
        <w:t xml:space="preserve"> </w:t>
      </w:r>
      <w:r w:rsidRPr="00FF2A93">
        <w:t>easily explained, in fact, considering the operating principle of the decanter</w:t>
      </w:r>
      <w:r w:rsidR="00742D66">
        <w:t>,</w:t>
      </w:r>
      <w:r w:rsidRPr="00FF2A93">
        <w:t xml:space="preserve"> M1 drives the rotation of the bowl whose effort is proportional to the amount of </w:t>
      </w:r>
      <w:r w:rsidR="00FC21D0" w:rsidRPr="00FF2A93">
        <w:t>sludge</w:t>
      </w:r>
      <w:r w:rsidRPr="00FF2A93">
        <w:t xml:space="preserve"> that stays </w:t>
      </w:r>
      <w:r w:rsidRPr="00FF2A93">
        <w:lastRenderedPageBreak/>
        <w:t xml:space="preserve">inside it at a given instant. </w:t>
      </w:r>
      <w:r w:rsidR="006B3412" w:rsidRPr="006B3412">
        <w:t xml:space="preserve">As reported in the experimental plan, the tests were carried out for each flow rate by varying the differential revolutions between the bowl and screw (Δn) increasing the flow rate, the Δn have been increased, consequently increasing the sludge discharge speed. Therefore, as the Δn increases, the quantity of sludge in the bowl decreases, lowering the rotational effort of the M1 and therefore its </w:t>
      </w:r>
      <w:r w:rsidR="006B3412">
        <w:t>power</w:t>
      </w:r>
      <w:r w:rsidR="006B3412" w:rsidRPr="006B3412">
        <w:t xml:space="preserve"> consumption and consequently the withdrawal of </w:t>
      </w:r>
      <w:r w:rsidR="006B3412">
        <w:t>power</w:t>
      </w:r>
      <w:r w:rsidR="006B3412" w:rsidRPr="006B3412">
        <w:t xml:space="preserve"> from the </w:t>
      </w:r>
      <w:r w:rsidR="006B3412">
        <w:t>main</w:t>
      </w:r>
      <w:r w:rsidR="006B3412" w:rsidRPr="006B3412">
        <w:t xml:space="preserve"> supply and the </w:t>
      </w:r>
      <w:r w:rsidR="006B3412">
        <w:t>power</w:t>
      </w:r>
      <w:r w:rsidR="006B3412" w:rsidRPr="006B3412">
        <w:t xml:space="preserve"> recovered. </w:t>
      </w:r>
      <w:r w:rsidRPr="00FF2A93">
        <w:t xml:space="preserve">Between </w:t>
      </w:r>
      <w:r w:rsidR="006B3412">
        <w:t>power</w:t>
      </w:r>
      <w:r w:rsidR="006B3412" w:rsidRPr="00FF2A93">
        <w:t xml:space="preserve"> </w:t>
      </w:r>
      <w:r w:rsidRPr="00FF2A93">
        <w:t xml:space="preserve">consumption of </w:t>
      </w:r>
      <w:r w:rsidRPr="002D4800">
        <w:t xml:space="preserve">the M1 and withdrawal from the power supply, a strong linear correlation was identified </w:t>
      </w:r>
      <w:r w:rsidR="00742D66">
        <w:t xml:space="preserve">with a coefficient of correlation </w:t>
      </w:r>
      <w:r w:rsidRPr="002D4800">
        <w:t>R</w:t>
      </w:r>
      <w:r w:rsidR="00742D66" w:rsidRPr="00EE30B3">
        <w:rPr>
          <w:vertAlign w:val="superscript"/>
        </w:rPr>
        <w:t>2</w:t>
      </w:r>
      <w:r w:rsidRPr="002D4800">
        <w:t xml:space="preserve"> always greater than 0.</w:t>
      </w:r>
      <w:r w:rsidR="00FD7EF1">
        <w:t>81</w:t>
      </w:r>
      <w:r w:rsidRPr="002D4800">
        <w:t>, confirming the effectiveness of the identified model.</w:t>
      </w:r>
    </w:p>
    <w:p w14:paraId="681BF458" w14:textId="5E13ED06" w:rsidR="00583C2A" w:rsidRPr="00FF2A93" w:rsidRDefault="00FF2A93" w:rsidP="00FF2A93">
      <w:pPr>
        <w:pStyle w:val="CETBodytext"/>
      </w:pPr>
      <w:r w:rsidRPr="002D4800">
        <w:t xml:space="preserve">Similarly, as shown in figures 3, 5 and 7, the amount of </w:t>
      </w:r>
      <w:r w:rsidR="006B3412">
        <w:t>power</w:t>
      </w:r>
      <w:r w:rsidR="006B3412" w:rsidRPr="002D4800">
        <w:t xml:space="preserve"> </w:t>
      </w:r>
      <w:r w:rsidRPr="002D4800">
        <w:t xml:space="preserve">recovered is also a function of the one used by the M1 at all three investigated flow rates. This means that the higher the </w:t>
      </w:r>
      <w:r w:rsidR="006B3412">
        <w:t>power</w:t>
      </w:r>
      <w:r w:rsidR="006B3412" w:rsidRPr="002D4800">
        <w:t xml:space="preserve"> </w:t>
      </w:r>
      <w:r w:rsidRPr="002D4800">
        <w:t xml:space="preserve">consumption of the M1, the higher will be the quantity of wastewater present inside the bowl at a given instant, consequently the VFD can use a greater regenerative braking of the screw of the decanter converting the kinetic energy of the load into electrical fed back into the power grid. Between </w:t>
      </w:r>
      <w:r w:rsidR="001C1C8E">
        <w:t>power</w:t>
      </w:r>
      <w:r w:rsidR="006B3412" w:rsidRPr="002D4800">
        <w:t xml:space="preserve"> </w:t>
      </w:r>
      <w:r w:rsidRPr="002D4800">
        <w:t>recovered and one used by the main engine a strong linear correlation was identified with R</w:t>
      </w:r>
      <w:r w:rsidR="00742D66" w:rsidRPr="00EE30B3">
        <w:rPr>
          <w:vertAlign w:val="superscript"/>
        </w:rPr>
        <w:t>2</w:t>
      </w:r>
      <w:r w:rsidRPr="002D4800">
        <w:t xml:space="preserve"> always higher than </w:t>
      </w:r>
      <w:r w:rsidR="00FC21D0">
        <w:t>0.86</w:t>
      </w:r>
    </w:p>
    <w:p w14:paraId="0C4D74BB" w14:textId="02B5C7C8" w:rsidR="00FD7EF1" w:rsidRDefault="00FF2A93" w:rsidP="00FD7EF1">
      <w:pPr>
        <w:pStyle w:val="CETBodytext"/>
      </w:pPr>
      <w:r w:rsidRPr="00FF2A93">
        <w:t>In Figure 8, the withdrawal from the main grid as a function of flow rate is shown</w:t>
      </w:r>
      <w:r w:rsidR="00FD7EF1">
        <w:t xml:space="preserve"> and </w:t>
      </w:r>
      <w:r w:rsidR="00FD7EF1" w:rsidRPr="00FF2A93">
        <w:t xml:space="preserve">a linear growth trend between decanter flow rate and </w:t>
      </w:r>
      <w:r w:rsidR="006B3412">
        <w:t>power</w:t>
      </w:r>
      <w:r w:rsidR="006B3412" w:rsidRPr="00FF2A93">
        <w:t xml:space="preserve"> </w:t>
      </w:r>
      <w:r w:rsidR="00FD7EF1" w:rsidRPr="00FF2A93">
        <w:t xml:space="preserve">withdrawal from the </w:t>
      </w:r>
      <w:r w:rsidR="00FD7EF1">
        <w:t>mains</w:t>
      </w:r>
      <w:r w:rsidR="00FD7EF1" w:rsidRPr="00FF2A93">
        <w:t xml:space="preserve"> with average values of 28.8 </w:t>
      </w:r>
      <w:r w:rsidR="0024655C">
        <w:t xml:space="preserve">kW </w:t>
      </w:r>
      <w:r w:rsidR="00FD7EF1" w:rsidRPr="00FF2A93">
        <w:t>at 15m</w:t>
      </w:r>
      <w:r w:rsidR="00FD7EF1" w:rsidRPr="002C7983">
        <w:rPr>
          <w:vertAlign w:val="superscript"/>
        </w:rPr>
        <w:t>3</w:t>
      </w:r>
      <w:r w:rsidR="005A52C8">
        <w:rPr>
          <w:vertAlign w:val="superscript"/>
        </w:rPr>
        <w:t xml:space="preserve"> </w:t>
      </w:r>
      <w:r w:rsidR="00FD7EF1" w:rsidRPr="00FF2A93">
        <w:t>h</w:t>
      </w:r>
      <w:r w:rsidR="00FD7EF1" w:rsidRPr="002C7983">
        <w:rPr>
          <w:vertAlign w:val="superscript"/>
        </w:rPr>
        <w:t>-1</w:t>
      </w:r>
      <w:r w:rsidR="00FD7EF1" w:rsidRPr="00FF2A93">
        <w:t>, 37.4 kW at 20m</w:t>
      </w:r>
      <w:r w:rsidR="00FD7EF1" w:rsidRPr="002C7983">
        <w:rPr>
          <w:vertAlign w:val="superscript"/>
        </w:rPr>
        <w:t>3</w:t>
      </w:r>
      <w:r w:rsidR="005A52C8">
        <w:rPr>
          <w:vertAlign w:val="superscript"/>
        </w:rPr>
        <w:t xml:space="preserve"> </w:t>
      </w:r>
      <w:r w:rsidR="00FD7EF1" w:rsidRPr="00FF2A93">
        <w:t>h</w:t>
      </w:r>
      <w:r w:rsidR="00FD7EF1" w:rsidRPr="002C7983">
        <w:rPr>
          <w:vertAlign w:val="superscript"/>
        </w:rPr>
        <w:t>-1</w:t>
      </w:r>
      <w:r w:rsidR="00FD7EF1" w:rsidRPr="00FF2A93">
        <w:t xml:space="preserve"> and 40.7 kW at 25m</w:t>
      </w:r>
      <w:r w:rsidR="00FD7EF1" w:rsidRPr="002C7983">
        <w:rPr>
          <w:vertAlign w:val="superscript"/>
        </w:rPr>
        <w:t>3</w:t>
      </w:r>
      <w:r w:rsidR="005A52C8">
        <w:rPr>
          <w:vertAlign w:val="superscript"/>
        </w:rPr>
        <w:t xml:space="preserve"> </w:t>
      </w:r>
      <w:r w:rsidR="00FD7EF1" w:rsidRPr="00FF2A93">
        <w:t>h</w:t>
      </w:r>
      <w:r w:rsidR="00FD7EF1" w:rsidRPr="002C7983">
        <w:rPr>
          <w:vertAlign w:val="superscript"/>
        </w:rPr>
        <w:t>-1</w:t>
      </w:r>
      <w:r w:rsidR="00FD7EF1" w:rsidRPr="00FF2A93">
        <w:t xml:space="preserve">. This trend confirms what previously reported, in fact the higher the decanter flow rate, despite optimizing the relative value of </w:t>
      </w:r>
      <w:r w:rsidR="00FD7EF1" w:rsidRPr="00FF2A93">
        <w:rPr>
          <w:lang w:val="it-IT"/>
        </w:rPr>
        <w:t>Δ</w:t>
      </w:r>
      <w:r w:rsidR="00FD7EF1" w:rsidRPr="00FF2A93">
        <w:t>n, the</w:t>
      </w:r>
      <w:r w:rsidR="00954276">
        <w:t xml:space="preserve"> higher the</w:t>
      </w:r>
      <w:r w:rsidR="00FD7EF1" w:rsidRPr="00FF2A93">
        <w:t xml:space="preserve"> amount of wastewater presents in the bowl</w:t>
      </w:r>
      <w:r w:rsidR="00954276">
        <w:t>.</w:t>
      </w:r>
      <w:r w:rsidR="00FD7EF1" w:rsidRPr="00FF2A93">
        <w:t xml:space="preserve"> </w:t>
      </w:r>
      <w:r w:rsidR="00954276">
        <w:t>C</w:t>
      </w:r>
      <w:r w:rsidR="00FD7EF1" w:rsidRPr="00FF2A93">
        <w:t>onsequently</w:t>
      </w:r>
      <w:r w:rsidR="00954276">
        <w:t>, it is necessary an</w:t>
      </w:r>
      <w:r w:rsidR="00FD7EF1" w:rsidRPr="00FF2A93">
        <w:t xml:space="preserve"> increasing </w:t>
      </w:r>
      <w:r w:rsidR="00954276">
        <w:t xml:space="preserve">of </w:t>
      </w:r>
      <w:r w:rsidR="00FD7EF1" w:rsidRPr="00FF2A93">
        <w:t>the effort of the main motor</w:t>
      </w:r>
      <w:r w:rsidR="00954276">
        <w:t>, whit a higher</w:t>
      </w:r>
      <w:r w:rsidR="00FD7EF1" w:rsidRPr="00FF2A93">
        <w:t xml:space="preserve"> total amount of </w:t>
      </w:r>
      <w:r w:rsidR="00A5103B">
        <w:t>power</w:t>
      </w:r>
      <w:r w:rsidR="00A5103B" w:rsidRPr="00FF2A93">
        <w:t xml:space="preserve"> </w:t>
      </w:r>
      <w:r w:rsidR="00FD7EF1" w:rsidRPr="00FF2A93">
        <w:t>drawn from the grid. The R</w:t>
      </w:r>
      <w:r w:rsidR="00954276" w:rsidRPr="00D539B9">
        <w:rPr>
          <w:vertAlign w:val="superscript"/>
        </w:rPr>
        <w:t>2</w:t>
      </w:r>
      <w:r w:rsidR="00FD7EF1" w:rsidRPr="00FF2A93">
        <w:t xml:space="preserve"> of 0.84 confirms the goodness of the developed model.</w:t>
      </w:r>
    </w:p>
    <w:p w14:paraId="08C911B2" w14:textId="77777777" w:rsidR="006D6BB4" w:rsidRDefault="006D6BB4" w:rsidP="00FD7EF1">
      <w:pPr>
        <w:pStyle w:val="CETBodytext"/>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1"/>
        <w:gridCol w:w="4406"/>
      </w:tblGrid>
      <w:tr w:rsidR="006D6BB4" w14:paraId="2A7AAE1E" w14:textId="77777777" w:rsidTr="006D6BB4">
        <w:tc>
          <w:tcPr>
            <w:tcW w:w="4388" w:type="dxa"/>
          </w:tcPr>
          <w:p w14:paraId="30AF3A84" w14:textId="55963C96" w:rsidR="006D6BB4" w:rsidRDefault="006D6BB4" w:rsidP="006D6BB4">
            <w:pPr>
              <w:pStyle w:val="CETBodytext"/>
              <w:spacing w:line="240" w:lineRule="auto"/>
            </w:pPr>
            <w:r>
              <w:rPr>
                <w:noProof/>
                <w:lang w:val="it-IT" w:eastAsia="it-IT"/>
              </w:rPr>
              <w:drawing>
                <wp:inline distT="0" distB="0" distL="0" distR="0" wp14:anchorId="7F9F32E9" wp14:editId="32A3B9AA">
                  <wp:extent cx="2652649" cy="1552575"/>
                  <wp:effectExtent l="0" t="0" r="0" b="0"/>
                  <wp:docPr id="43" name="Immagin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694605" cy="1577132"/>
                          </a:xfrm>
                          <a:prstGeom prst="rect">
                            <a:avLst/>
                          </a:prstGeom>
                          <a:noFill/>
                        </pic:spPr>
                      </pic:pic>
                    </a:graphicData>
                  </a:graphic>
                </wp:inline>
              </w:drawing>
            </w:r>
          </w:p>
        </w:tc>
        <w:tc>
          <w:tcPr>
            <w:tcW w:w="4389" w:type="dxa"/>
          </w:tcPr>
          <w:p w14:paraId="4D64AE2C" w14:textId="6418DD4B" w:rsidR="006D6BB4" w:rsidRDefault="006D6BB4" w:rsidP="006D6BB4">
            <w:pPr>
              <w:pStyle w:val="CETBodytext"/>
              <w:spacing w:line="240" w:lineRule="auto"/>
            </w:pPr>
            <w:r>
              <w:rPr>
                <w:noProof/>
                <w:lang w:val="it-IT" w:eastAsia="it-IT"/>
              </w:rPr>
              <w:drawing>
                <wp:inline distT="0" distB="0" distL="0" distR="0" wp14:anchorId="28EE84BA" wp14:editId="4A89DA7F">
                  <wp:extent cx="2669397" cy="1552575"/>
                  <wp:effectExtent l="0" t="0" r="0" b="0"/>
                  <wp:docPr id="44" name="Immagin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718866" cy="1581347"/>
                          </a:xfrm>
                          <a:prstGeom prst="rect">
                            <a:avLst/>
                          </a:prstGeom>
                          <a:noFill/>
                        </pic:spPr>
                      </pic:pic>
                    </a:graphicData>
                  </a:graphic>
                </wp:inline>
              </w:drawing>
            </w:r>
          </w:p>
        </w:tc>
      </w:tr>
      <w:tr w:rsidR="006D6BB4" w14:paraId="49A2ABC1" w14:textId="77777777" w:rsidTr="006D6BB4">
        <w:tc>
          <w:tcPr>
            <w:tcW w:w="4388" w:type="dxa"/>
          </w:tcPr>
          <w:p w14:paraId="4CBD5E62" w14:textId="77777777" w:rsidR="006D6BB4" w:rsidRPr="004C5F33" w:rsidRDefault="006D6BB4" w:rsidP="006D6BB4">
            <w:pPr>
              <w:pStyle w:val="CETCaption"/>
              <w:spacing w:before="0" w:after="0" w:line="240" w:lineRule="auto"/>
              <w:rPr>
                <w:rStyle w:val="CETCaptionCarattere"/>
                <w:i/>
              </w:rPr>
            </w:pPr>
            <w:r w:rsidRPr="004C5F33">
              <w:rPr>
                <w:rStyle w:val="CETCaptionCarattere"/>
                <w:i/>
              </w:rPr>
              <w:t>Figure 8 - Decanter flow rate vs Mains power consumption</w:t>
            </w:r>
          </w:p>
          <w:p w14:paraId="3F769076" w14:textId="77777777" w:rsidR="006D6BB4" w:rsidRPr="006D6BB4" w:rsidRDefault="006D6BB4" w:rsidP="006D6BB4">
            <w:pPr>
              <w:pStyle w:val="CETBodytext"/>
              <w:spacing w:line="240" w:lineRule="auto"/>
              <w:rPr>
                <w:lang w:val="en-GB"/>
              </w:rPr>
            </w:pPr>
          </w:p>
        </w:tc>
        <w:tc>
          <w:tcPr>
            <w:tcW w:w="4389" w:type="dxa"/>
          </w:tcPr>
          <w:p w14:paraId="3A94FE19" w14:textId="77777777" w:rsidR="006D6BB4" w:rsidRPr="004C5F33" w:rsidRDefault="006D6BB4" w:rsidP="006D6BB4">
            <w:pPr>
              <w:pStyle w:val="CETCaption"/>
              <w:spacing w:before="0" w:after="0" w:line="240" w:lineRule="auto"/>
              <w:rPr>
                <w:rStyle w:val="CETCaptionCarattere"/>
                <w:i/>
              </w:rPr>
            </w:pPr>
            <w:r w:rsidRPr="004C5F33">
              <w:rPr>
                <w:rStyle w:val="CETCaptionCarattere"/>
                <w:i/>
              </w:rPr>
              <w:t>Figure 9 - Decanter flow rate vs Power recovery</w:t>
            </w:r>
          </w:p>
          <w:p w14:paraId="4290D75C" w14:textId="77777777" w:rsidR="006D6BB4" w:rsidRPr="006D6BB4" w:rsidRDefault="006D6BB4" w:rsidP="006D6BB4">
            <w:pPr>
              <w:pStyle w:val="CETBodytext"/>
              <w:spacing w:line="240" w:lineRule="auto"/>
              <w:rPr>
                <w:lang w:val="en-GB"/>
              </w:rPr>
            </w:pPr>
          </w:p>
        </w:tc>
      </w:tr>
    </w:tbl>
    <w:p w14:paraId="0BFB8D5F" w14:textId="10674042" w:rsidR="009F78EB" w:rsidRPr="006D6BB4" w:rsidRDefault="009F78EB" w:rsidP="004C5F33">
      <w:pPr>
        <w:pStyle w:val="CETBodytext"/>
        <w:jc w:val="left"/>
      </w:pPr>
    </w:p>
    <w:p w14:paraId="41A622FD" w14:textId="3DE8F7D2" w:rsidR="00EB028C" w:rsidRPr="00E57A08" w:rsidRDefault="00192701" w:rsidP="00457FF8">
      <w:pPr>
        <w:pStyle w:val="CETBodytext"/>
      </w:pPr>
      <w:r>
        <w:t>I</w:t>
      </w:r>
      <w:r w:rsidR="00514C33" w:rsidRPr="00E57A08">
        <w:t xml:space="preserve">n Figure 9, the trend of the </w:t>
      </w:r>
      <w:r>
        <w:t>power</w:t>
      </w:r>
      <w:r w:rsidRPr="00E57A08">
        <w:t xml:space="preserve"> </w:t>
      </w:r>
      <w:r w:rsidR="00514C33" w:rsidRPr="00E57A08">
        <w:t xml:space="preserve">recovered from the regenerative braking system grows linearly with the increase in the decanter feed flow rate. As mentioned earlier the VFD of the motor </w:t>
      </w:r>
      <w:r w:rsidR="00EB028C" w:rsidRPr="00E57A08">
        <w:t>driving</w:t>
      </w:r>
      <w:r w:rsidR="00514C33" w:rsidRPr="00E57A08">
        <w:t xml:space="preserve"> the screw is regenerative braking, which allows it to recover </w:t>
      </w:r>
      <w:r>
        <w:t>power</w:t>
      </w:r>
      <w:r w:rsidR="00F846CB">
        <w:t xml:space="preserve">, up to 4 kW increasing M1 </w:t>
      </w:r>
      <w:r>
        <w:t>power</w:t>
      </w:r>
      <w:r w:rsidR="00F846CB">
        <w:t xml:space="preserve"> consumption of 12 kW,</w:t>
      </w:r>
      <w:r w:rsidR="00514C33" w:rsidRPr="00E57A08">
        <w:t xml:space="preserve"> during the deceleration of the motor and feed it back into the power supply. As the flow rate increases, the amount of sludge in the bowl increases, increasing the </w:t>
      </w:r>
      <w:r>
        <w:t>power</w:t>
      </w:r>
      <w:r w:rsidRPr="00E57A08">
        <w:t xml:space="preserve"> </w:t>
      </w:r>
      <w:r w:rsidR="00514C33" w:rsidRPr="00E57A08">
        <w:t>regenerative capacity. The high correlation coefficient (R</w:t>
      </w:r>
      <w:r w:rsidR="00954276" w:rsidRPr="00D539B9">
        <w:rPr>
          <w:vertAlign w:val="superscript"/>
        </w:rPr>
        <w:t>2</w:t>
      </w:r>
      <w:r w:rsidR="00514C33" w:rsidRPr="00E57A08">
        <w:t xml:space="preserve"> of 0.79) demonstrates the goodness of the trend developed.</w:t>
      </w:r>
      <w:r>
        <w:t xml:space="preserve"> Finally, c</w:t>
      </w:r>
      <w:r w:rsidRPr="00192701">
        <w:t>omparing the slopes of the lines in Figures 8 and 9, it is highlighted that from</w:t>
      </w:r>
      <w:r w:rsidR="001C1C8E">
        <w:t xml:space="preserve"> 1</w:t>
      </w:r>
      <w:r w:rsidR="001C1C8E" w:rsidRPr="00FF2A93">
        <w:t>5m</w:t>
      </w:r>
      <w:r w:rsidR="001C1C8E" w:rsidRPr="0075208E">
        <w:rPr>
          <w:vertAlign w:val="superscript"/>
        </w:rPr>
        <w:t>3</w:t>
      </w:r>
      <w:r w:rsidR="001C1C8E" w:rsidRPr="00FF2A93">
        <w:t>h</w:t>
      </w:r>
      <w:r w:rsidR="001C1C8E" w:rsidRPr="0075208E">
        <w:rPr>
          <w:vertAlign w:val="superscript"/>
        </w:rPr>
        <w:t>-1</w:t>
      </w:r>
      <w:r w:rsidR="001C1C8E">
        <w:t xml:space="preserve"> </w:t>
      </w:r>
      <w:r w:rsidRPr="00192701">
        <w:t xml:space="preserve">to </w:t>
      </w:r>
      <w:r w:rsidR="001C1C8E" w:rsidRPr="00FF2A93">
        <w:t>25m</w:t>
      </w:r>
      <w:r w:rsidR="001C1C8E" w:rsidRPr="0075208E">
        <w:rPr>
          <w:vertAlign w:val="superscript"/>
        </w:rPr>
        <w:t>3</w:t>
      </w:r>
      <w:r w:rsidR="001C1C8E" w:rsidRPr="00FF2A93">
        <w:t>h</w:t>
      </w:r>
      <w:r w:rsidR="001C1C8E" w:rsidRPr="0075208E">
        <w:rPr>
          <w:vertAlign w:val="superscript"/>
        </w:rPr>
        <w:t>-1</w:t>
      </w:r>
      <w:r w:rsidR="001C1C8E">
        <w:t xml:space="preserve"> t</w:t>
      </w:r>
      <w:r w:rsidRPr="00192701">
        <w:t>he power consumed of M1 increases by about 12 kW, while the recovery by only 3-4 kW.</w:t>
      </w:r>
      <w:r>
        <w:t xml:space="preserve"> </w:t>
      </w:r>
      <w:r w:rsidRPr="00192701">
        <w:t xml:space="preserve">This means that as the flow rate increases, the power recovered is about </w:t>
      </w:r>
      <w:r w:rsidR="001C1C8E">
        <w:rPr>
          <w:rFonts w:cs="Arial"/>
        </w:rPr>
        <w:t xml:space="preserve">¼ </w:t>
      </w:r>
      <w:r w:rsidRPr="00192701">
        <w:t>of that consumed.</w:t>
      </w:r>
      <w:r w:rsidR="004C5F33">
        <w:t xml:space="preserve"> </w:t>
      </w:r>
      <w:r w:rsidR="00EB028C" w:rsidRPr="00EB028C">
        <w:t xml:space="preserve">The approach to energy consumption prediction based on time series analysis, until develop the trends in energy consumption data has proven to be an effective way to understand the energy consumption of </w:t>
      </w:r>
      <w:r w:rsidR="00EB028C">
        <w:t xml:space="preserve">a machine as reported by </w:t>
      </w:r>
      <w:r w:rsidR="00EB028C" w:rsidRPr="00500565">
        <w:t xml:space="preserve">several </w:t>
      </w:r>
      <w:r w:rsidR="00EB028C" w:rsidRPr="002D4800">
        <w:t xml:space="preserve">authors </w:t>
      </w:r>
      <w:r w:rsidR="00FE5788" w:rsidRPr="002D4800">
        <w:t>(</w:t>
      </w:r>
      <w:r w:rsidR="00500565" w:rsidRPr="002D4800">
        <w:t>Xie et al</w:t>
      </w:r>
      <w:r w:rsidR="00500565">
        <w:t xml:space="preserve">, 2021; </w:t>
      </w:r>
      <w:r w:rsidR="00500565" w:rsidRPr="00C45160">
        <w:t>Lee</w:t>
      </w:r>
      <w:r w:rsidR="00500565" w:rsidRPr="00500565" w:rsidDel="00500565">
        <w:t xml:space="preserve"> </w:t>
      </w:r>
      <w:r w:rsidR="00500565">
        <w:t xml:space="preserve">et al., 2015; </w:t>
      </w:r>
      <w:r w:rsidR="00BD3329" w:rsidRPr="00C45160">
        <w:t>Imani</w:t>
      </w:r>
      <w:r w:rsidR="00BD3329" w:rsidRPr="00BD3329" w:rsidDel="00500565">
        <w:t xml:space="preserve"> </w:t>
      </w:r>
      <w:r w:rsidR="00BD3329">
        <w:t>et al., 2017; Liu et al., 2015; Perone et al., 2022; Tamborrino et al., 2021</w:t>
      </w:r>
      <w:r w:rsidR="00AA198F">
        <w:t>; Catalano et al., 2021</w:t>
      </w:r>
      <w:r w:rsidR="00FE5788" w:rsidRPr="002D4800">
        <w:t>)</w:t>
      </w:r>
      <w:r w:rsidR="00EB028C" w:rsidRPr="002D4800">
        <w:t>.</w:t>
      </w:r>
    </w:p>
    <w:p w14:paraId="68D26B83" w14:textId="3946E5E7" w:rsidR="00600535" w:rsidRDefault="00600535" w:rsidP="00600535">
      <w:pPr>
        <w:pStyle w:val="CETHeading1"/>
        <w:rPr>
          <w:lang w:val="en-GB"/>
        </w:rPr>
      </w:pPr>
      <w:r w:rsidRPr="00B57B36">
        <w:rPr>
          <w:lang w:val="en-GB"/>
        </w:rPr>
        <w:t>Conclusions</w:t>
      </w:r>
    </w:p>
    <w:p w14:paraId="373976C1" w14:textId="2E653793" w:rsidR="008A5D8D" w:rsidRDefault="00B17D76" w:rsidP="008A5D8D">
      <w:pPr>
        <w:pStyle w:val="CETBodytext"/>
      </w:pPr>
      <w:r w:rsidRPr="00B17D76">
        <w:t>Energy consumption and sustainability are closely linked, as the way we consume energy has a significant impact on the environment and the long-term availability of energy resources.</w:t>
      </w:r>
      <w:r w:rsidR="004C5F33">
        <w:t xml:space="preserve"> </w:t>
      </w:r>
      <w:r w:rsidR="00C9239C">
        <w:t>Among the various solutions proposed to reduce the energy consumption of industrial machines driven by electric motors is the use of variable frequency drives. Whenever the working mode of the machine allows it, the VFD can operate in regenerative braking way, which allows them to recover energy during the deceleration of the motor and feed it back into the power supply.</w:t>
      </w:r>
      <w:r w:rsidR="004C5F33">
        <w:t xml:space="preserve"> </w:t>
      </w:r>
      <w:r w:rsidR="00C9239C">
        <w:t>However, the relationship between energy consumption and machine regulation methods are almost always unknown to the process planner who, in the absence of such information, uses the machine in an inefficient way.</w:t>
      </w:r>
      <w:r w:rsidR="00B42AE8">
        <w:t xml:space="preserve"> </w:t>
      </w:r>
      <w:r w:rsidR="00C9239C">
        <w:t xml:space="preserve">Energy consumption modeling makes it possible to discover these relationships by making them available to the process </w:t>
      </w:r>
      <w:r w:rsidR="0015297B">
        <w:t>planner.</w:t>
      </w:r>
      <w:r w:rsidR="0015297B" w:rsidRPr="00C9239C">
        <w:t xml:space="preserve"> The</w:t>
      </w:r>
      <w:r w:rsidR="00C9239C" w:rsidRPr="00C9239C">
        <w:t xml:space="preserve"> developed models can be utilized by the process planners to identify the most energy-efficient based process plan before the </w:t>
      </w:r>
      <w:r w:rsidR="00FE5788" w:rsidRPr="00C9239C">
        <w:t>sludge</w:t>
      </w:r>
      <w:r w:rsidR="00C9239C" w:rsidRPr="00C9239C">
        <w:t xml:space="preserve"> dewatering machining. Further, in </w:t>
      </w:r>
      <w:r w:rsidR="00C9239C" w:rsidRPr="00C9239C">
        <w:lastRenderedPageBreak/>
        <w:t xml:space="preserve">future, </w:t>
      </w:r>
      <w:r w:rsidR="00FE5788" w:rsidRPr="00C9239C">
        <w:t>to</w:t>
      </w:r>
      <w:r w:rsidR="00C9239C" w:rsidRPr="00C9239C">
        <w:t xml:space="preserve"> obtain an even broader picture of information the proposed model coul</w:t>
      </w:r>
      <w:r w:rsidR="00C9239C">
        <w:t>d</w:t>
      </w:r>
      <w:r w:rsidR="00C9239C" w:rsidRPr="00C9239C">
        <w:t xml:space="preserve"> be integrated with the productivity and product quality models.</w:t>
      </w:r>
      <w:r w:rsidR="0073551D">
        <w:t xml:space="preserve"> </w:t>
      </w:r>
      <w:r w:rsidR="00C9239C" w:rsidRPr="00C9239C">
        <w:t xml:space="preserve">In this way, the process planner will be able to evaluate the correct adjustment of the machine to reduce energy consumption </w:t>
      </w:r>
      <w:r w:rsidR="00FE5788" w:rsidRPr="00C9239C">
        <w:t>based on</w:t>
      </w:r>
      <w:r w:rsidR="00C9239C" w:rsidRPr="00C9239C">
        <w:t xml:space="preserve"> the proposed production and quality objectives.</w:t>
      </w:r>
    </w:p>
    <w:p w14:paraId="459D05E6" w14:textId="77777777" w:rsidR="00600535" w:rsidRPr="002D4800" w:rsidRDefault="00600535" w:rsidP="00600535">
      <w:pPr>
        <w:pStyle w:val="CETAcknowledgementstitle"/>
        <w:rPr>
          <w:lang w:val="en-US"/>
        </w:rPr>
      </w:pPr>
      <w:r w:rsidRPr="002D4800">
        <w:rPr>
          <w:lang w:val="en-US"/>
        </w:rPr>
        <w:t>Acknowledgments</w:t>
      </w:r>
    </w:p>
    <w:p w14:paraId="33F8138F" w14:textId="12494A17" w:rsidR="00600535" w:rsidRPr="002D4800" w:rsidRDefault="007B307F" w:rsidP="00600535">
      <w:pPr>
        <w:pStyle w:val="CETBodytext"/>
      </w:pPr>
      <w:r w:rsidRPr="002D4800">
        <w:t>The authors have contributed to the same extent to the present study.</w:t>
      </w:r>
    </w:p>
    <w:p w14:paraId="4F1327F8" w14:textId="77777777" w:rsidR="00600535" w:rsidRPr="00B57B36" w:rsidRDefault="00600535" w:rsidP="00600535">
      <w:pPr>
        <w:pStyle w:val="CETReference"/>
      </w:pPr>
      <w:r w:rsidRPr="00B57B36">
        <w:t>References</w:t>
      </w:r>
    </w:p>
    <w:p w14:paraId="46E6DDA1" w14:textId="20ABFDF1" w:rsidR="00110DEA" w:rsidRPr="002D4800" w:rsidRDefault="00110DEA" w:rsidP="00110DEA">
      <w:pPr>
        <w:pStyle w:val="CETReferencetext"/>
      </w:pPr>
      <w:r w:rsidRPr="002D4800">
        <w:t>IEA. World Energy Outlook 2020. Paris: IEA Publishing; 2020.</w:t>
      </w:r>
    </w:p>
    <w:p w14:paraId="28E8379D" w14:textId="0139D920" w:rsidR="00C52C3C" w:rsidRPr="002D4800" w:rsidRDefault="00110DEA" w:rsidP="00110DEA">
      <w:pPr>
        <w:pStyle w:val="CETReferencetext"/>
      </w:pPr>
      <w:r w:rsidRPr="002D4800">
        <w:t>IEA. World Energy Model Documentation. IEA Publishing; Paris. 2020. https://www.iea.org/reports/world-energy-model (accessed March 26, 2021).</w:t>
      </w:r>
    </w:p>
    <w:p w14:paraId="608F9CEF" w14:textId="2C25EA17" w:rsidR="000F42FD" w:rsidRPr="002D4800" w:rsidRDefault="00076479" w:rsidP="000F42FD">
      <w:pPr>
        <w:pStyle w:val="CETReferencetext"/>
      </w:pPr>
      <w:r w:rsidRPr="002D4800">
        <w:t xml:space="preserve">Sarkodie, </w:t>
      </w:r>
      <w:r w:rsidR="0085225D">
        <w:t xml:space="preserve">S.A., </w:t>
      </w:r>
      <w:r w:rsidRPr="002D4800">
        <w:t xml:space="preserve">Adams, </w:t>
      </w:r>
      <w:r w:rsidR="0085225D" w:rsidRPr="00C45160">
        <w:t>S.</w:t>
      </w:r>
      <w:r w:rsidR="0085225D">
        <w:t>,</w:t>
      </w:r>
      <w:r w:rsidR="0085225D" w:rsidRPr="00C45160">
        <w:t xml:space="preserve"> </w:t>
      </w:r>
      <w:r w:rsidR="0085225D">
        <w:t xml:space="preserve">&amp; </w:t>
      </w:r>
      <w:r w:rsidRPr="002D4800">
        <w:t>Leirvik,</w:t>
      </w:r>
      <w:r w:rsidR="0085225D">
        <w:t xml:space="preserve"> T., 2020.</w:t>
      </w:r>
      <w:r w:rsidRPr="002D4800">
        <w:t xml:space="preserve"> Foreign direct investment and renewable energy in climate change mitigation: does governance matter? </w:t>
      </w:r>
      <w:r w:rsidRPr="002D4800">
        <w:rPr>
          <w:i/>
          <w:iCs/>
        </w:rPr>
        <w:t>J. Clean. Prod.</w:t>
      </w:r>
      <w:r w:rsidRPr="002D4800">
        <w:t xml:space="preserve"> 263, 121262.</w:t>
      </w:r>
    </w:p>
    <w:p w14:paraId="269613E8" w14:textId="174D772B" w:rsidR="000F42FD" w:rsidRPr="002D4800" w:rsidRDefault="0085225D" w:rsidP="0085225D">
      <w:pPr>
        <w:pStyle w:val="CETReferencetext"/>
      </w:pPr>
      <w:bookmarkStart w:id="2" w:name="_Hlk130725224"/>
      <w:r w:rsidRPr="002D4800">
        <w:t>Qusay, H., Al-Hitmi, M., Tabar, V. S., Sameen, A. Z., Salman, H. M., &amp; Jaszczur, M., 2023. Middle East energy consumption and potential renewable sources: An overview</w:t>
      </w:r>
      <w:r>
        <w:t xml:space="preserve">. </w:t>
      </w:r>
      <w:r w:rsidRPr="002D4800">
        <w:rPr>
          <w:i/>
          <w:iCs/>
        </w:rPr>
        <w:t>Cleaner Engineering and Technology</w:t>
      </w:r>
      <w:r w:rsidRPr="002D4800">
        <w:t>,</w:t>
      </w:r>
      <w:r>
        <w:t xml:space="preserve"> </w:t>
      </w:r>
      <w:r w:rsidRPr="002D4800">
        <w:t>Volume 12,</w:t>
      </w:r>
      <w:r>
        <w:t xml:space="preserve"> </w:t>
      </w:r>
      <w:r w:rsidRPr="002D4800">
        <w:t>100599,</w:t>
      </w:r>
      <w:r>
        <w:t xml:space="preserve"> </w:t>
      </w:r>
      <w:r w:rsidRPr="002D4800">
        <w:t>ISSN 2666-7908</w:t>
      </w:r>
      <w:r>
        <w:t xml:space="preserve">. </w:t>
      </w:r>
      <w:r w:rsidRPr="002D4800">
        <w:t>https://doi.org/10.1016/j.clet.2023.100599.</w:t>
      </w:r>
    </w:p>
    <w:p w14:paraId="19C4FC68" w14:textId="1063D769" w:rsidR="004628D2" w:rsidRPr="002D4800" w:rsidRDefault="003B5EB3" w:rsidP="003B5EB3">
      <w:pPr>
        <w:pStyle w:val="CETReferencetext"/>
      </w:pPr>
      <w:r>
        <w:t xml:space="preserve">Jun, Z., Wang, Z., Ankai, C., Jinkang, Y., Yicheng, R., Chen, Z., Wu, J., Wei, L., Bing, B., Wei, W., &amp; Zhongwei, Z., 2020. Sustainability of unconventional machining industry considering impact factors and reduction methods of energy consumption: A review and analysis. </w:t>
      </w:r>
      <w:r w:rsidRPr="002D4800">
        <w:rPr>
          <w:i/>
          <w:iCs/>
        </w:rPr>
        <w:t>Science of The Total Environment</w:t>
      </w:r>
      <w:r>
        <w:t>, Volume 722, 137897, ISSN 0048-9697. https://doi.org/10.1016/j.scitotenv.2020.137897.</w:t>
      </w:r>
    </w:p>
    <w:bookmarkEnd w:id="2"/>
    <w:p w14:paraId="3DCEF76F" w14:textId="6CAE3C85" w:rsidR="00B31139" w:rsidRPr="002D4800" w:rsidRDefault="00A041C7" w:rsidP="00A041C7">
      <w:pPr>
        <w:pStyle w:val="CETReferencetext"/>
      </w:pPr>
      <w:r w:rsidRPr="002D4800">
        <w:rPr>
          <w:lang w:val="it-IT"/>
        </w:rPr>
        <w:t>Tan,</w:t>
      </w:r>
      <w:r>
        <w:rPr>
          <w:lang w:val="it-IT"/>
        </w:rPr>
        <w:t xml:space="preserve"> C., </w:t>
      </w:r>
      <w:r w:rsidRPr="002D4800">
        <w:rPr>
          <w:lang w:val="it-IT"/>
        </w:rPr>
        <w:t>Zi-Ming</w:t>
      </w:r>
      <w:r>
        <w:rPr>
          <w:lang w:val="it-IT"/>
        </w:rPr>
        <w:t>,</w:t>
      </w:r>
      <w:r w:rsidRPr="002D4800">
        <w:rPr>
          <w:lang w:val="it-IT"/>
        </w:rPr>
        <w:t xml:space="preserve"> F</w:t>
      </w:r>
      <w:r>
        <w:rPr>
          <w:lang w:val="it-IT"/>
        </w:rPr>
        <w:t>.</w:t>
      </w:r>
      <w:r w:rsidRPr="002D4800">
        <w:rPr>
          <w:lang w:val="it-IT"/>
        </w:rPr>
        <w:t>, Liu</w:t>
      </w:r>
      <w:r>
        <w:rPr>
          <w:lang w:val="it-IT"/>
        </w:rPr>
        <w:t xml:space="preserve">, X., </w:t>
      </w:r>
      <w:r w:rsidRPr="002D4800">
        <w:rPr>
          <w:lang w:val="it-IT"/>
        </w:rPr>
        <w:t xml:space="preserve">Fan, </w:t>
      </w:r>
      <w:r>
        <w:rPr>
          <w:lang w:val="it-IT"/>
        </w:rPr>
        <w:t xml:space="preserve">J., </w:t>
      </w:r>
      <w:r w:rsidRPr="002D4800">
        <w:rPr>
          <w:lang w:val="it-IT"/>
        </w:rPr>
        <w:t xml:space="preserve">Cui, </w:t>
      </w:r>
      <w:r>
        <w:rPr>
          <w:lang w:val="it-IT"/>
        </w:rPr>
        <w:t>W., S</w:t>
      </w:r>
      <w:r w:rsidRPr="002D4800">
        <w:rPr>
          <w:lang w:val="it-IT"/>
        </w:rPr>
        <w:t xml:space="preserve">un, </w:t>
      </w:r>
      <w:r>
        <w:rPr>
          <w:lang w:val="it-IT"/>
        </w:rPr>
        <w:t>R., &amp;</w:t>
      </w:r>
      <w:r w:rsidRPr="002D4800">
        <w:rPr>
          <w:lang w:val="it-IT"/>
        </w:rPr>
        <w:t xml:space="preserve"> Ma</w:t>
      </w:r>
      <w:r>
        <w:rPr>
          <w:lang w:val="it-IT"/>
        </w:rPr>
        <w:t>, Q.</w:t>
      </w:r>
      <w:r w:rsidRPr="002D4800">
        <w:rPr>
          <w:lang w:val="it-IT"/>
        </w:rPr>
        <w:t>,</w:t>
      </w:r>
      <w:r>
        <w:rPr>
          <w:lang w:val="it-IT"/>
        </w:rPr>
        <w:t xml:space="preserve"> 2020. </w:t>
      </w:r>
      <w:r>
        <w:t xml:space="preserve">Review of variable speed drive technology in beam pumping units for energy-saving. </w:t>
      </w:r>
      <w:r w:rsidRPr="002D4800">
        <w:rPr>
          <w:i/>
          <w:iCs/>
        </w:rPr>
        <w:t>Energy Reports</w:t>
      </w:r>
      <w:r>
        <w:t>, Volume 6, pp 2676-2688, ISSN 2352-4847. https://doi.org/10.1016/j.egyr.2020.09.018.</w:t>
      </w:r>
    </w:p>
    <w:p w14:paraId="460ADC67" w14:textId="32705732" w:rsidR="00B31139" w:rsidRPr="002D4800" w:rsidRDefault="00A041C7" w:rsidP="00A041C7">
      <w:pPr>
        <w:pStyle w:val="CETReferencetext"/>
      </w:pPr>
      <w:r w:rsidRPr="002D4800">
        <w:t>Abdelsalam A. A</w:t>
      </w:r>
      <w:r w:rsidR="00921634">
        <w:t>.</w:t>
      </w:r>
      <w:r w:rsidRPr="002D4800">
        <w:t xml:space="preserve">, Moharam, </w:t>
      </w:r>
      <w:r w:rsidR="0077201B">
        <w:t xml:space="preserve">B. A., &amp; </w:t>
      </w:r>
      <w:r w:rsidRPr="002D4800">
        <w:t>Rashad</w:t>
      </w:r>
      <w:r w:rsidR="0077201B">
        <w:t>, E. E., 2022</w:t>
      </w:r>
      <w:r>
        <w:t xml:space="preserve">. </w:t>
      </w:r>
      <w:r w:rsidRPr="002D4800">
        <w:t>Improving energy efficiency and economics of motor-pump-system using electric variable-speed drives for automatic transition of working points</w:t>
      </w:r>
      <w:r w:rsidR="0077201B">
        <w:t xml:space="preserve">. </w:t>
      </w:r>
      <w:r w:rsidRPr="002D4800">
        <w:rPr>
          <w:i/>
          <w:iCs/>
        </w:rPr>
        <w:t>Computers &amp; Electrical Engineering</w:t>
      </w:r>
      <w:r w:rsidRPr="002D4800">
        <w:t>,</w:t>
      </w:r>
      <w:r w:rsidR="0077201B">
        <w:t xml:space="preserve"> </w:t>
      </w:r>
      <w:r w:rsidRPr="002D4800">
        <w:t>Volume 97,</w:t>
      </w:r>
      <w:r w:rsidR="0077201B">
        <w:t xml:space="preserve"> </w:t>
      </w:r>
      <w:r w:rsidRPr="002D4800">
        <w:t>107607,</w:t>
      </w:r>
      <w:r w:rsidR="0077201B">
        <w:t xml:space="preserve"> </w:t>
      </w:r>
      <w:r w:rsidRPr="002D4800">
        <w:t>ISSN 0045-7906</w:t>
      </w:r>
      <w:r w:rsidR="0077201B">
        <w:t xml:space="preserve">. </w:t>
      </w:r>
      <w:r w:rsidRPr="002D4800">
        <w:t>https://doi.org/10.1016/j.compeleceng.2021.107607.</w:t>
      </w:r>
    </w:p>
    <w:p w14:paraId="1317DEDF" w14:textId="42ACF39E" w:rsidR="009522B8" w:rsidRPr="002D4800" w:rsidRDefault="0077201B" w:rsidP="0077201B">
      <w:pPr>
        <w:pStyle w:val="CETReferencetext"/>
      </w:pPr>
      <w:r w:rsidRPr="002D4800">
        <w:rPr>
          <w:lang w:val="it-IT"/>
        </w:rPr>
        <w:t>Tamborrino, A</w:t>
      </w:r>
      <w:r>
        <w:rPr>
          <w:lang w:val="it-IT"/>
        </w:rPr>
        <w:t xml:space="preserve">. </w:t>
      </w:r>
      <w:r w:rsidRPr="002D4800">
        <w:rPr>
          <w:lang w:val="it-IT"/>
        </w:rPr>
        <w:t xml:space="preserve">Leone, </w:t>
      </w:r>
      <w:r>
        <w:rPr>
          <w:lang w:val="it-IT"/>
        </w:rPr>
        <w:t xml:space="preserve">A., </w:t>
      </w:r>
      <w:r w:rsidRPr="002D4800">
        <w:rPr>
          <w:lang w:val="it-IT"/>
        </w:rPr>
        <w:t xml:space="preserve">Romaniello, </w:t>
      </w:r>
      <w:r>
        <w:rPr>
          <w:lang w:val="it-IT"/>
        </w:rPr>
        <w:t xml:space="preserve">R., </w:t>
      </w:r>
      <w:r w:rsidRPr="002D4800">
        <w:rPr>
          <w:lang w:val="it-IT"/>
        </w:rPr>
        <w:t xml:space="preserve">Catalano, </w:t>
      </w:r>
      <w:r>
        <w:rPr>
          <w:lang w:val="it-IT"/>
        </w:rPr>
        <w:t>P., &amp;</w:t>
      </w:r>
      <w:r w:rsidRPr="002D4800">
        <w:rPr>
          <w:lang w:val="it-IT"/>
        </w:rPr>
        <w:t>Bianchi,</w:t>
      </w:r>
      <w:r>
        <w:rPr>
          <w:lang w:val="it-IT"/>
        </w:rPr>
        <w:t xml:space="preserve"> B., 2015. </w:t>
      </w:r>
      <w:r>
        <w:t xml:space="preserve">Comparative experiments to assess the performance of an innovative horizontal centrifuge working in a continuous olive oil plant. </w:t>
      </w:r>
      <w:r w:rsidRPr="002D4800">
        <w:rPr>
          <w:i/>
          <w:iCs/>
        </w:rPr>
        <w:t>Biosystems Engineering</w:t>
      </w:r>
      <w:r>
        <w:t>, Volume 129, pp 160-168, ISSN 1537-5110. https://doi.org/10.1016/j.biosystemseng.2014.10.005.</w:t>
      </w:r>
    </w:p>
    <w:p w14:paraId="7464A602" w14:textId="7D145543" w:rsidR="00B31139" w:rsidRPr="002D4800" w:rsidRDefault="0077201B" w:rsidP="00B31139">
      <w:pPr>
        <w:pStyle w:val="CETReferencetext"/>
        <w:rPr>
          <w:lang w:val="en-US"/>
        </w:rPr>
      </w:pPr>
      <w:r w:rsidRPr="002D4800">
        <w:rPr>
          <w:lang w:val="it-IT"/>
        </w:rPr>
        <w:t>Squeo, G</w:t>
      </w:r>
      <w:r>
        <w:rPr>
          <w:lang w:val="it-IT"/>
        </w:rPr>
        <w:t xml:space="preserve">., </w:t>
      </w:r>
      <w:r w:rsidRPr="002D4800">
        <w:rPr>
          <w:lang w:val="it-IT"/>
        </w:rPr>
        <w:t>Tamborrino, A</w:t>
      </w:r>
      <w:r>
        <w:rPr>
          <w:lang w:val="it-IT"/>
        </w:rPr>
        <w:t>.,</w:t>
      </w:r>
      <w:r w:rsidRPr="002D4800">
        <w:rPr>
          <w:lang w:val="it-IT"/>
        </w:rPr>
        <w:t xml:space="preserve"> Pasqualone, A</w:t>
      </w:r>
      <w:r w:rsidR="004C07C3">
        <w:rPr>
          <w:lang w:val="it-IT"/>
        </w:rPr>
        <w:t>.,</w:t>
      </w:r>
      <w:r w:rsidRPr="002D4800">
        <w:rPr>
          <w:lang w:val="it-IT"/>
        </w:rPr>
        <w:t xml:space="preserve"> Leone, A</w:t>
      </w:r>
      <w:r w:rsidR="004C07C3">
        <w:rPr>
          <w:lang w:val="it-IT"/>
        </w:rPr>
        <w:t>.,</w:t>
      </w:r>
      <w:r w:rsidRPr="002D4800">
        <w:rPr>
          <w:lang w:val="it-IT"/>
        </w:rPr>
        <w:t xml:space="preserve"> Paradiso, V</w:t>
      </w:r>
      <w:r w:rsidR="004C07C3">
        <w:rPr>
          <w:lang w:val="it-IT"/>
        </w:rPr>
        <w:t>.,</w:t>
      </w:r>
      <w:r w:rsidRPr="002D4800">
        <w:rPr>
          <w:lang w:val="it-IT"/>
        </w:rPr>
        <w:t xml:space="preserve"> Summo, C</w:t>
      </w:r>
      <w:r w:rsidR="004C07C3">
        <w:rPr>
          <w:lang w:val="it-IT"/>
        </w:rPr>
        <w:t>.,</w:t>
      </w:r>
      <w:r w:rsidRPr="002D4800">
        <w:rPr>
          <w:lang w:val="it-IT"/>
        </w:rPr>
        <w:t xml:space="preserve"> </w:t>
      </w:r>
      <w:r w:rsidR="004C07C3">
        <w:rPr>
          <w:lang w:val="it-IT"/>
        </w:rPr>
        <w:t xml:space="preserve">&amp; </w:t>
      </w:r>
      <w:r w:rsidRPr="002D4800">
        <w:rPr>
          <w:lang w:val="it-IT"/>
        </w:rPr>
        <w:t>Caponio, F</w:t>
      </w:r>
      <w:r w:rsidR="004C07C3">
        <w:rPr>
          <w:lang w:val="it-IT"/>
        </w:rPr>
        <w:t xml:space="preserve">, </w:t>
      </w:r>
      <w:r w:rsidRPr="002D4800">
        <w:rPr>
          <w:lang w:val="it-IT"/>
        </w:rPr>
        <w:t xml:space="preserve">2017. </w:t>
      </w:r>
      <w:r w:rsidRPr="0077201B">
        <w:t xml:space="preserve">Assessment of the Influence of the Decanter Set-up During Continuous Processing of Olives at Different Pigmentation Index. </w:t>
      </w:r>
      <w:r w:rsidRPr="002D4800">
        <w:rPr>
          <w:i/>
          <w:iCs/>
          <w:lang w:val="en-US"/>
        </w:rPr>
        <w:t>Food and Bioprocess Technology</w:t>
      </w:r>
      <w:r w:rsidRPr="002D4800">
        <w:rPr>
          <w:lang w:val="en-US"/>
        </w:rPr>
        <w:t xml:space="preserve">. 10. 10.1007/s11947-016-1842-7. </w:t>
      </w:r>
    </w:p>
    <w:p w14:paraId="41735D11" w14:textId="7DF97C52" w:rsidR="009522B8" w:rsidRPr="002D4800" w:rsidRDefault="00B22285" w:rsidP="00B31139">
      <w:pPr>
        <w:pStyle w:val="CETReferencetext"/>
        <w:rPr>
          <w:rFonts w:cs="Arial"/>
          <w:lang w:val="en-US"/>
        </w:rPr>
      </w:pPr>
      <w:r w:rsidRPr="002D4800">
        <w:rPr>
          <w:lang w:val="en-US"/>
        </w:rPr>
        <w:t xml:space="preserve">Caponio, F., Leone, A., Squeo, G., Tamborrino, A., &amp; Summo, C., 2019. </w:t>
      </w:r>
      <w:r w:rsidRPr="00B22285">
        <w:rPr>
          <w:lang w:val="en-US"/>
        </w:rPr>
        <w:t xml:space="preserve">Innovative technologies in virgin olive oil extraction process: influence on volatile compounds and organoleptic characteristics: Influence of </w:t>
      </w:r>
      <w:r w:rsidRPr="002D4800">
        <w:rPr>
          <w:rFonts w:cs="Arial"/>
          <w:lang w:val="en-US"/>
        </w:rPr>
        <w:t xml:space="preserve">innovative technologies on sensory notes of virgin olive oils. </w:t>
      </w:r>
      <w:r w:rsidRPr="002D4800">
        <w:rPr>
          <w:rFonts w:cs="Arial"/>
          <w:i/>
          <w:iCs/>
          <w:lang w:val="en-US"/>
        </w:rPr>
        <w:t>Journal of the Science of Food and Agriculture</w:t>
      </w:r>
      <w:r w:rsidRPr="002D4800">
        <w:rPr>
          <w:rFonts w:cs="Arial"/>
          <w:lang w:val="en-US"/>
        </w:rPr>
        <w:t>. 99. 10.1002/jsfa.9856.</w:t>
      </w:r>
    </w:p>
    <w:p w14:paraId="5214D3C5" w14:textId="518164C7" w:rsidR="003F3281" w:rsidRPr="002D4800" w:rsidRDefault="00B22285" w:rsidP="00B31139">
      <w:pPr>
        <w:pStyle w:val="CETReferencetext"/>
        <w:rPr>
          <w:rFonts w:cs="Arial"/>
          <w:lang w:val="it-IT"/>
        </w:rPr>
      </w:pPr>
      <w:r w:rsidRPr="002D4800">
        <w:rPr>
          <w:rFonts w:cs="Arial"/>
          <w:color w:val="212121"/>
          <w:shd w:val="clear" w:color="auto" w:fill="FFFFFF"/>
          <w:lang w:val="en-US"/>
        </w:rPr>
        <w:t xml:space="preserve">Tamborrino, A., Perone, C., Veneziani, G., Berardi, A., Romaniello, R., Servili, M., &amp; Leone, A., 2022. </w:t>
      </w:r>
      <w:r w:rsidRPr="002D4800">
        <w:rPr>
          <w:rFonts w:cs="Arial"/>
          <w:color w:val="212121"/>
          <w:shd w:val="clear" w:color="auto" w:fill="FFFFFF"/>
        </w:rPr>
        <w:t>Experimental Investigation of a New Modular Crusher Machine Developed for Olive Oil Extraction Plants. </w:t>
      </w:r>
      <w:r w:rsidRPr="002D4800">
        <w:rPr>
          <w:rFonts w:cs="Arial"/>
          <w:i/>
          <w:iCs/>
          <w:color w:val="212121"/>
          <w:shd w:val="clear" w:color="auto" w:fill="FFFFFF"/>
          <w:lang w:val="it-IT"/>
        </w:rPr>
        <w:t>Foods (Basel, Switzerland)</w:t>
      </w:r>
      <w:r w:rsidRPr="002D4800">
        <w:rPr>
          <w:rFonts w:cs="Arial"/>
          <w:color w:val="212121"/>
          <w:shd w:val="clear" w:color="auto" w:fill="FFFFFF"/>
          <w:lang w:val="it-IT"/>
        </w:rPr>
        <w:t>, </w:t>
      </w:r>
      <w:r w:rsidRPr="002D4800">
        <w:rPr>
          <w:rFonts w:cs="Arial"/>
          <w:i/>
          <w:iCs/>
          <w:color w:val="212121"/>
          <w:shd w:val="clear" w:color="auto" w:fill="FFFFFF"/>
          <w:lang w:val="it-IT"/>
        </w:rPr>
        <w:t>11</w:t>
      </w:r>
      <w:r w:rsidRPr="002D4800">
        <w:rPr>
          <w:rFonts w:cs="Arial"/>
          <w:color w:val="212121"/>
          <w:shd w:val="clear" w:color="auto" w:fill="FFFFFF"/>
          <w:lang w:val="it-IT"/>
        </w:rPr>
        <w:t>(19), 3035. https://doi.org/10.3390/foods11193035</w:t>
      </w:r>
    </w:p>
    <w:p w14:paraId="565EFFDC" w14:textId="6F131AB4" w:rsidR="003F3281" w:rsidRPr="002D4800" w:rsidRDefault="00B22285" w:rsidP="00B31139">
      <w:pPr>
        <w:pStyle w:val="CETReferencetext"/>
        <w:rPr>
          <w:rFonts w:cs="Arial"/>
          <w:lang w:val="en-US"/>
        </w:rPr>
      </w:pPr>
      <w:r w:rsidRPr="002D4800">
        <w:rPr>
          <w:rFonts w:cs="Arial"/>
          <w:color w:val="212121"/>
          <w:shd w:val="clear" w:color="auto" w:fill="FFFFFF"/>
          <w:lang w:val="it-IT"/>
        </w:rPr>
        <w:t xml:space="preserve">Leone, A., Tamborrino, A., Esposto, S., Berardi, A., &amp; Servili, M., 2022. </w:t>
      </w:r>
      <w:r w:rsidRPr="002D4800">
        <w:rPr>
          <w:rFonts w:cs="Arial"/>
          <w:color w:val="212121"/>
          <w:shd w:val="clear" w:color="auto" w:fill="FFFFFF"/>
        </w:rPr>
        <w:t>Investigation on the Effects of a Pulsed Electric Field (PEF) Continuous System Implemented in an Industrial Olive Oil Plant. </w:t>
      </w:r>
      <w:r w:rsidRPr="002D4800">
        <w:rPr>
          <w:rFonts w:cs="Arial"/>
          <w:i/>
          <w:iCs/>
          <w:color w:val="212121"/>
          <w:shd w:val="clear" w:color="auto" w:fill="FFFFFF"/>
          <w:lang w:val="en-US"/>
        </w:rPr>
        <w:t>Foods (Basel, Switzerland)</w:t>
      </w:r>
      <w:r w:rsidRPr="002D4800">
        <w:rPr>
          <w:rFonts w:cs="Arial"/>
          <w:color w:val="212121"/>
          <w:shd w:val="clear" w:color="auto" w:fill="FFFFFF"/>
          <w:lang w:val="en-US"/>
        </w:rPr>
        <w:t>, </w:t>
      </w:r>
      <w:r w:rsidRPr="002D4800">
        <w:rPr>
          <w:rFonts w:cs="Arial"/>
          <w:i/>
          <w:iCs/>
          <w:color w:val="212121"/>
          <w:shd w:val="clear" w:color="auto" w:fill="FFFFFF"/>
          <w:lang w:val="en-US"/>
        </w:rPr>
        <w:t>11</w:t>
      </w:r>
      <w:r w:rsidRPr="002D4800">
        <w:rPr>
          <w:rFonts w:cs="Arial"/>
          <w:color w:val="212121"/>
          <w:shd w:val="clear" w:color="auto" w:fill="FFFFFF"/>
          <w:lang w:val="en-US"/>
        </w:rPr>
        <w:t>(18), 2758. https://doi.org/10.3390/foods11182758</w:t>
      </w:r>
    </w:p>
    <w:p w14:paraId="6AD95D0B" w14:textId="7C500FA4" w:rsidR="00B31139" w:rsidRPr="002D4800" w:rsidRDefault="00892F2F" w:rsidP="00B31139">
      <w:pPr>
        <w:pStyle w:val="CETReferencetext"/>
      </w:pPr>
      <w:r w:rsidRPr="002D4800">
        <w:rPr>
          <w:rFonts w:cs="Arial"/>
          <w:lang w:val="en-US"/>
        </w:rPr>
        <w:t xml:space="preserve">Leone, A., Romaniello, R., Zagaria, R., &amp; Tamborrino, A., 2015. </w:t>
      </w:r>
      <w:r w:rsidRPr="002D4800">
        <w:rPr>
          <w:rFonts w:cs="Arial"/>
        </w:rPr>
        <w:t>Mathematical modelling</w:t>
      </w:r>
      <w:r w:rsidRPr="00892F2F">
        <w:t xml:space="preserve"> of the performance parameters of a new decanter centrifuge generation. </w:t>
      </w:r>
      <w:r w:rsidRPr="002D4800">
        <w:rPr>
          <w:i/>
          <w:iCs/>
        </w:rPr>
        <w:t>Journal of Food Engineering</w:t>
      </w:r>
      <w:r w:rsidRPr="00892F2F">
        <w:t>. 166. 10.1016/j.jfoodeng.2015.05.011.</w:t>
      </w:r>
    </w:p>
    <w:p w14:paraId="47EE562D" w14:textId="0A0BCCF6" w:rsidR="00EB028C" w:rsidRPr="002D4800" w:rsidRDefault="00500565" w:rsidP="00B31139">
      <w:pPr>
        <w:pStyle w:val="CETReferencetext"/>
      </w:pPr>
      <w:r w:rsidRPr="002D4800">
        <w:rPr>
          <w:lang w:val="en-US"/>
        </w:rPr>
        <w:t xml:space="preserve">Xie, J., Cai, W., Du, Y., Tang, Y., &amp; Tuo, J., 2021. </w:t>
      </w:r>
      <w:r w:rsidRPr="00500565">
        <w:t xml:space="preserve">Modelling Approach for Energy Efficiency of Machining System Based on Torque Model and Angular Velocity. </w:t>
      </w:r>
      <w:r w:rsidRPr="002D4800">
        <w:rPr>
          <w:i/>
          <w:iCs/>
        </w:rPr>
        <w:t>Journal of Cleaner Production</w:t>
      </w:r>
      <w:r w:rsidRPr="00500565">
        <w:t>. 293. 126249. 10.1016/j.jclepro.2021.126249.</w:t>
      </w:r>
    </w:p>
    <w:p w14:paraId="36FE4CAB" w14:textId="70E08865" w:rsidR="00EB028C" w:rsidRPr="002D4800" w:rsidRDefault="00500565" w:rsidP="00EB028C">
      <w:pPr>
        <w:pStyle w:val="CETReferencetext"/>
      </w:pPr>
      <w:r w:rsidRPr="00C45160">
        <w:t>Lee</w:t>
      </w:r>
      <w:r>
        <w:t>,</w:t>
      </w:r>
      <w:r w:rsidRPr="00C45160">
        <w:t xml:space="preserve"> J</w:t>
      </w:r>
      <w:r>
        <w:t>.</w:t>
      </w:r>
      <w:r w:rsidRPr="00C45160">
        <w:t>Y</w:t>
      </w:r>
      <w:r>
        <w:t>.</w:t>
      </w:r>
      <w:r w:rsidRPr="00C45160">
        <w:t>, Shin</w:t>
      </w:r>
      <w:r>
        <w:t>,</w:t>
      </w:r>
      <w:r w:rsidRPr="00C45160">
        <w:t xml:space="preserve"> Y</w:t>
      </w:r>
      <w:r>
        <w:t>.</w:t>
      </w:r>
      <w:r w:rsidRPr="00C45160">
        <w:t>J</w:t>
      </w:r>
      <w:r>
        <w:t>.</w:t>
      </w:r>
      <w:r w:rsidRPr="00C45160">
        <w:t>, Kim</w:t>
      </w:r>
      <w:r>
        <w:t>,</w:t>
      </w:r>
      <w:r w:rsidRPr="00C45160">
        <w:t xml:space="preserve"> M</w:t>
      </w:r>
      <w:r>
        <w:t>.</w:t>
      </w:r>
      <w:r w:rsidRPr="00C45160">
        <w:t>S</w:t>
      </w:r>
      <w:r>
        <w:t>.</w:t>
      </w:r>
      <w:r w:rsidRPr="00C45160">
        <w:t>, Kim</w:t>
      </w:r>
      <w:r>
        <w:t>,</w:t>
      </w:r>
      <w:r w:rsidRPr="00C45160">
        <w:t xml:space="preserve"> E</w:t>
      </w:r>
      <w:r>
        <w:t>.</w:t>
      </w:r>
      <w:r w:rsidRPr="00C45160">
        <w:t>S</w:t>
      </w:r>
      <w:r>
        <w:t>.</w:t>
      </w:r>
      <w:r w:rsidRPr="00C45160">
        <w:t>, Yoon</w:t>
      </w:r>
      <w:r>
        <w:t>,</w:t>
      </w:r>
      <w:r w:rsidRPr="00C45160">
        <w:t xml:space="preserve"> H</w:t>
      </w:r>
      <w:r>
        <w:t>.</w:t>
      </w:r>
      <w:r w:rsidRPr="00C45160">
        <w:t>S</w:t>
      </w:r>
      <w:r>
        <w:t>.</w:t>
      </w:r>
      <w:r w:rsidRPr="00C45160">
        <w:t>, Kim</w:t>
      </w:r>
      <w:r>
        <w:t>,</w:t>
      </w:r>
      <w:r w:rsidRPr="00C45160">
        <w:t xml:space="preserve"> S</w:t>
      </w:r>
      <w:r>
        <w:t>.</w:t>
      </w:r>
      <w:r w:rsidRPr="00C45160">
        <w:t>Y</w:t>
      </w:r>
      <w:r>
        <w:t xml:space="preserve">., </w:t>
      </w:r>
      <w:r w:rsidRPr="00500565">
        <w:t>Yoon, Y</w:t>
      </w:r>
      <w:r>
        <w:t>.</w:t>
      </w:r>
      <w:r w:rsidRPr="00500565">
        <w:t>C</w:t>
      </w:r>
      <w:r>
        <w:t>.,</w:t>
      </w:r>
      <w:r w:rsidRPr="00500565">
        <w:t xml:space="preserve"> Ahn, S</w:t>
      </w:r>
      <w:r>
        <w:t>.</w:t>
      </w:r>
      <w:r w:rsidRPr="00500565">
        <w:t>H</w:t>
      </w:r>
      <w:r>
        <w:t>.,</w:t>
      </w:r>
      <w:r w:rsidRPr="00500565">
        <w:t xml:space="preserve"> </w:t>
      </w:r>
      <w:r w:rsidR="00BD3329">
        <w:t xml:space="preserve">&amp; </w:t>
      </w:r>
      <w:r w:rsidRPr="00500565">
        <w:t>Min, S</w:t>
      </w:r>
      <w:r>
        <w:t>.,</w:t>
      </w:r>
      <w:r w:rsidRPr="00500565">
        <w:t xml:space="preserve"> 2015. A Simplified Machine-Tool Power-Consumption Measurement Procedure and Methodology for Estimating Total Energy Consumption. </w:t>
      </w:r>
      <w:r w:rsidRPr="002D4800">
        <w:rPr>
          <w:i/>
          <w:iCs/>
        </w:rPr>
        <w:t>Journal of Manufacturing Science and Engineering</w:t>
      </w:r>
      <w:r w:rsidRPr="00500565">
        <w:t xml:space="preserve">. 138. 10.1115/1.4031713. </w:t>
      </w:r>
    </w:p>
    <w:p w14:paraId="6E54E45C" w14:textId="1983C079" w:rsidR="00FE5788" w:rsidRPr="002D4800" w:rsidRDefault="00FE5788" w:rsidP="00FE5788">
      <w:pPr>
        <w:pStyle w:val="CETReferencetext"/>
      </w:pPr>
      <w:r w:rsidRPr="002D4800">
        <w:t>Imani</w:t>
      </w:r>
      <w:r w:rsidR="00500565">
        <w:t>,</w:t>
      </w:r>
      <w:r w:rsidRPr="002D4800">
        <w:t xml:space="preserve"> A</w:t>
      </w:r>
      <w:r w:rsidR="00500565">
        <w:t>.</w:t>
      </w:r>
      <w:r w:rsidRPr="002D4800">
        <w:t>R</w:t>
      </w:r>
      <w:r w:rsidR="00500565">
        <w:t>.</w:t>
      </w:r>
      <w:r w:rsidRPr="002D4800">
        <w:t>, Newman</w:t>
      </w:r>
      <w:r w:rsidR="00500565">
        <w:t>,</w:t>
      </w:r>
      <w:r w:rsidRPr="002D4800">
        <w:t xml:space="preserve"> S</w:t>
      </w:r>
      <w:r w:rsidR="00500565">
        <w:t>.</w:t>
      </w:r>
      <w:r w:rsidRPr="002D4800">
        <w:t>T</w:t>
      </w:r>
      <w:r w:rsidR="00500565">
        <w:t>.</w:t>
      </w:r>
      <w:r w:rsidRPr="002D4800">
        <w:t xml:space="preserve">, </w:t>
      </w:r>
      <w:r w:rsidR="00BD3329">
        <w:t xml:space="preserve">&amp; </w:t>
      </w:r>
      <w:r w:rsidRPr="002D4800">
        <w:t>Nassehi</w:t>
      </w:r>
      <w:r w:rsidR="00500565">
        <w:t>,</w:t>
      </w:r>
      <w:r w:rsidRPr="002D4800">
        <w:t xml:space="preserve"> A.</w:t>
      </w:r>
      <w:r w:rsidR="00500565">
        <w:t xml:space="preserve">, </w:t>
      </w:r>
      <w:r w:rsidR="00BD3329">
        <w:t>2017.</w:t>
      </w:r>
      <w:r w:rsidRPr="002D4800">
        <w:t xml:space="preserve"> A mechanistic model of energy consumption in milling. </w:t>
      </w:r>
      <w:r w:rsidRPr="002D4800">
        <w:rPr>
          <w:i/>
          <w:iCs/>
        </w:rPr>
        <w:t>Int J Prod Res</w:t>
      </w:r>
      <w:r w:rsidRPr="002D4800">
        <w:t xml:space="preserve">;56:642–59. https://doi.org/10.1080/ 00207543.2017.1404160. </w:t>
      </w:r>
    </w:p>
    <w:p w14:paraId="7CE535A6" w14:textId="593651CE" w:rsidR="00FE5788" w:rsidRPr="002D4800" w:rsidRDefault="00FE5788" w:rsidP="00FE5788">
      <w:pPr>
        <w:pStyle w:val="CETReferencetext"/>
        <w:rPr>
          <w:lang w:val="en-US"/>
        </w:rPr>
      </w:pPr>
      <w:r w:rsidRPr="002D4800">
        <w:rPr>
          <w:lang w:val="en-US"/>
        </w:rPr>
        <w:lastRenderedPageBreak/>
        <w:t>Liu</w:t>
      </w:r>
      <w:r w:rsidR="00BD3329" w:rsidRPr="002D4800">
        <w:rPr>
          <w:lang w:val="en-US"/>
        </w:rPr>
        <w:t>,</w:t>
      </w:r>
      <w:r w:rsidRPr="002D4800">
        <w:rPr>
          <w:lang w:val="en-US"/>
        </w:rPr>
        <w:t xml:space="preserve"> F</w:t>
      </w:r>
      <w:r w:rsidR="00BD3329" w:rsidRPr="002D4800">
        <w:rPr>
          <w:lang w:val="en-US"/>
        </w:rPr>
        <w:t>.</w:t>
      </w:r>
      <w:r w:rsidRPr="002D4800">
        <w:rPr>
          <w:lang w:val="en-US"/>
        </w:rPr>
        <w:t>, Xie</w:t>
      </w:r>
      <w:r w:rsidR="00BD3329" w:rsidRPr="002D4800">
        <w:rPr>
          <w:lang w:val="en-US"/>
        </w:rPr>
        <w:t>,</w:t>
      </w:r>
      <w:r w:rsidRPr="002D4800">
        <w:rPr>
          <w:lang w:val="en-US"/>
        </w:rPr>
        <w:t>J</w:t>
      </w:r>
      <w:r w:rsidR="00BD3329" w:rsidRPr="002D4800">
        <w:rPr>
          <w:lang w:val="en-US"/>
        </w:rPr>
        <w:t>.</w:t>
      </w:r>
      <w:r w:rsidRPr="002D4800">
        <w:rPr>
          <w:lang w:val="en-US"/>
        </w:rPr>
        <w:t xml:space="preserve">, </w:t>
      </w:r>
      <w:r w:rsidR="00BD3329" w:rsidRPr="002D4800">
        <w:rPr>
          <w:lang w:val="en-US"/>
        </w:rPr>
        <w:t xml:space="preserve">&amp; </w:t>
      </w:r>
      <w:r w:rsidRPr="002D4800">
        <w:rPr>
          <w:lang w:val="en-US"/>
        </w:rPr>
        <w:t>Liu S.</w:t>
      </w:r>
      <w:r w:rsidR="00BD3329" w:rsidRPr="002D4800">
        <w:rPr>
          <w:lang w:val="en-US"/>
        </w:rPr>
        <w:t>, 2015.</w:t>
      </w:r>
      <w:r w:rsidRPr="002D4800">
        <w:rPr>
          <w:lang w:val="en-US"/>
        </w:rPr>
        <w:t xml:space="preserve"> </w:t>
      </w:r>
      <w:r w:rsidRPr="002D4800">
        <w:t xml:space="preserve">A method for predicting the energy consumption of the main driving system of a machine tool in a machining process. </w:t>
      </w:r>
      <w:r w:rsidRPr="002D4800">
        <w:rPr>
          <w:i/>
          <w:iCs/>
          <w:lang w:val="en-US"/>
        </w:rPr>
        <w:t>J Clean Prod</w:t>
      </w:r>
      <w:r w:rsidR="00BD3329" w:rsidRPr="002D4800">
        <w:rPr>
          <w:lang w:val="en-US"/>
        </w:rPr>
        <w:t xml:space="preserve">, </w:t>
      </w:r>
      <w:r w:rsidRPr="002D4800">
        <w:rPr>
          <w:lang w:val="en-US"/>
        </w:rPr>
        <w:t>105: 171–7. https://doi.org/10.1016/j.jclepro.2014.09.058.</w:t>
      </w:r>
    </w:p>
    <w:p w14:paraId="0048276E" w14:textId="31A95975" w:rsidR="00FE5788" w:rsidRPr="002D4800" w:rsidRDefault="00BD3329" w:rsidP="00BD3329">
      <w:pPr>
        <w:pStyle w:val="CETReferencetext"/>
      </w:pPr>
      <w:r w:rsidRPr="002D4800">
        <w:rPr>
          <w:lang w:val="en-US"/>
        </w:rPr>
        <w:t xml:space="preserve">Perone, C., Romaniello, R., Leone, A., Berardi, A., &amp; Tamborrino, A., 2022, </w:t>
      </w:r>
      <w:r>
        <w:t xml:space="preserve">Towards energy efficient scheduling in the olive oil extraction industry: Comparative assessment of energy consumption in two management models. </w:t>
      </w:r>
      <w:r w:rsidRPr="002D4800">
        <w:rPr>
          <w:i/>
          <w:iCs/>
        </w:rPr>
        <w:t>Energy Conversion and Management: X</w:t>
      </w:r>
      <w:r>
        <w:t>, Volume 16, 100287, ISSN 2590-1745. https://doi.org/10.1016/j.ecmx.2022.100287.</w:t>
      </w:r>
    </w:p>
    <w:p w14:paraId="462C063D" w14:textId="76628B22" w:rsidR="00FE5788" w:rsidRDefault="00BD3329" w:rsidP="00FE5788">
      <w:pPr>
        <w:pStyle w:val="CETReferencetext"/>
      </w:pPr>
      <w:r w:rsidRPr="002D4800">
        <w:t xml:space="preserve">Tamborrino A., Catalano F., Berardi A., Bianchi B., 2021, New Modelling Approach for the Energy and Steam Consumption Evaluation in a Fresh Pasta Industry, </w:t>
      </w:r>
      <w:r w:rsidRPr="002D4800">
        <w:rPr>
          <w:i/>
          <w:iCs/>
        </w:rPr>
        <w:t>Chemical Engineering Transactions</w:t>
      </w:r>
      <w:r w:rsidRPr="002D4800">
        <w:t>, 87, 409-414.</w:t>
      </w:r>
    </w:p>
    <w:p w14:paraId="3D809708" w14:textId="7ADD02AA" w:rsidR="00AA198F" w:rsidRPr="00FE5788" w:rsidRDefault="00AA198F" w:rsidP="00FE5788">
      <w:pPr>
        <w:pStyle w:val="CETReferencetext"/>
      </w:pPr>
      <w:r w:rsidRPr="00AA198F">
        <w:t xml:space="preserve">Catalano F., Bianchi B., Berardi A., Leone A., Tamborrino A., 2021, Experimental Trials and Dynamical Simulation of the Potential Biogas Production in a Frozen Food Industry, </w:t>
      </w:r>
      <w:r w:rsidRPr="00AA198F">
        <w:rPr>
          <w:i/>
          <w:iCs/>
        </w:rPr>
        <w:t>Chemical Engineering Transactions</w:t>
      </w:r>
      <w:r w:rsidRPr="00AA198F">
        <w:t>, 87, 295-300.</w:t>
      </w:r>
    </w:p>
    <w:sectPr w:rsidR="00AA198F" w:rsidRPr="00FE5788" w:rsidSect="00EF06D9">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F30B90" w14:textId="77777777" w:rsidR="0000077F" w:rsidRDefault="0000077F" w:rsidP="004F5E36">
      <w:r>
        <w:separator/>
      </w:r>
    </w:p>
  </w:endnote>
  <w:endnote w:type="continuationSeparator" w:id="0">
    <w:p w14:paraId="49219BD1" w14:textId="77777777" w:rsidR="0000077F" w:rsidRDefault="0000077F"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3B4DB8" w14:textId="77777777" w:rsidR="0000077F" w:rsidRDefault="0000077F" w:rsidP="004F5E36">
      <w:r>
        <w:separator/>
      </w:r>
    </w:p>
  </w:footnote>
  <w:footnote w:type="continuationSeparator" w:id="0">
    <w:p w14:paraId="1F077F18" w14:textId="77777777" w:rsidR="0000077F" w:rsidRDefault="0000077F" w:rsidP="004F5E3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49862F8"/>
    <w:multiLevelType w:val="multilevel"/>
    <w:tmpl w:val="39A497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9"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76C77B40"/>
    <w:multiLevelType w:val="multilevel"/>
    <w:tmpl w:val="15B067F2"/>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9451ACA"/>
    <w:multiLevelType w:val="multilevel"/>
    <w:tmpl w:val="C374B382"/>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8"/>
  </w:num>
  <w:num w:numId="13">
    <w:abstractNumId w:val="13"/>
  </w:num>
  <w:num w:numId="14">
    <w:abstractNumId w:val="19"/>
  </w:num>
  <w:num w:numId="15">
    <w:abstractNumId w:val="21"/>
  </w:num>
  <w:num w:numId="16">
    <w:abstractNumId w:val="20"/>
  </w:num>
  <w:num w:numId="17">
    <w:abstractNumId w:val="11"/>
  </w:num>
  <w:num w:numId="18">
    <w:abstractNumId w:val="13"/>
    <w:lvlOverride w:ilvl="0">
      <w:startOverride w:val="1"/>
    </w:lvlOverride>
  </w:num>
  <w:num w:numId="19">
    <w:abstractNumId w:val="17"/>
  </w:num>
  <w:num w:numId="20">
    <w:abstractNumId w:val="16"/>
  </w:num>
  <w:num w:numId="21">
    <w:abstractNumId w:val="15"/>
  </w:num>
  <w:num w:numId="22">
    <w:abstractNumId w:val="14"/>
  </w:num>
  <w:num w:numId="23">
    <w:abstractNumId w:val="12"/>
  </w:num>
  <w:num w:numId="24">
    <w:abstractNumId w:val="13"/>
  </w:num>
  <w:num w:numId="25">
    <w:abstractNumId w:val="13"/>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num>
  <w:num w:numId="29">
    <w:abstractNumId w:val="22"/>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077F"/>
    <w:rsid w:val="000027C0"/>
    <w:rsid w:val="000052FB"/>
    <w:rsid w:val="000117CB"/>
    <w:rsid w:val="00013F6B"/>
    <w:rsid w:val="0003148D"/>
    <w:rsid w:val="00031EEC"/>
    <w:rsid w:val="00051566"/>
    <w:rsid w:val="000562A9"/>
    <w:rsid w:val="00062A9A"/>
    <w:rsid w:val="00065058"/>
    <w:rsid w:val="00072033"/>
    <w:rsid w:val="0007432D"/>
    <w:rsid w:val="00075EB2"/>
    <w:rsid w:val="00076479"/>
    <w:rsid w:val="0008128C"/>
    <w:rsid w:val="00086C39"/>
    <w:rsid w:val="000A03B2"/>
    <w:rsid w:val="000A4A8D"/>
    <w:rsid w:val="000D0268"/>
    <w:rsid w:val="000D34BE"/>
    <w:rsid w:val="000E102F"/>
    <w:rsid w:val="000E36F1"/>
    <w:rsid w:val="000E3A73"/>
    <w:rsid w:val="000E414A"/>
    <w:rsid w:val="000F093C"/>
    <w:rsid w:val="000F42FD"/>
    <w:rsid w:val="000F787B"/>
    <w:rsid w:val="00110DEA"/>
    <w:rsid w:val="00111204"/>
    <w:rsid w:val="0012091F"/>
    <w:rsid w:val="00126BC2"/>
    <w:rsid w:val="001308B6"/>
    <w:rsid w:val="0013121F"/>
    <w:rsid w:val="00131FE6"/>
    <w:rsid w:val="0013263F"/>
    <w:rsid w:val="001331DF"/>
    <w:rsid w:val="00134DE4"/>
    <w:rsid w:val="0014034D"/>
    <w:rsid w:val="00144D16"/>
    <w:rsid w:val="00150E59"/>
    <w:rsid w:val="0015297B"/>
    <w:rsid w:val="00152DE3"/>
    <w:rsid w:val="00164CF9"/>
    <w:rsid w:val="001667A6"/>
    <w:rsid w:val="00166BB6"/>
    <w:rsid w:val="00173AA1"/>
    <w:rsid w:val="0017508C"/>
    <w:rsid w:val="00184AD6"/>
    <w:rsid w:val="00187F28"/>
    <w:rsid w:val="00192701"/>
    <w:rsid w:val="001A4AF7"/>
    <w:rsid w:val="001B0349"/>
    <w:rsid w:val="001B1E93"/>
    <w:rsid w:val="001B65C1"/>
    <w:rsid w:val="001C1C8E"/>
    <w:rsid w:val="001C684B"/>
    <w:rsid w:val="001D0CFB"/>
    <w:rsid w:val="001D1EB9"/>
    <w:rsid w:val="001D21AF"/>
    <w:rsid w:val="001D53FC"/>
    <w:rsid w:val="001F42A5"/>
    <w:rsid w:val="001F7B9D"/>
    <w:rsid w:val="00201C93"/>
    <w:rsid w:val="002224B4"/>
    <w:rsid w:val="00226BD0"/>
    <w:rsid w:val="002447EF"/>
    <w:rsid w:val="0024655C"/>
    <w:rsid w:val="00251550"/>
    <w:rsid w:val="00263B05"/>
    <w:rsid w:val="0027221A"/>
    <w:rsid w:val="0027416C"/>
    <w:rsid w:val="00275B61"/>
    <w:rsid w:val="00280FAF"/>
    <w:rsid w:val="00282656"/>
    <w:rsid w:val="00296B83"/>
    <w:rsid w:val="002B4015"/>
    <w:rsid w:val="002B78CE"/>
    <w:rsid w:val="002C1D43"/>
    <w:rsid w:val="002C2FB6"/>
    <w:rsid w:val="002C7983"/>
    <w:rsid w:val="002D0272"/>
    <w:rsid w:val="002D4800"/>
    <w:rsid w:val="002E5FA7"/>
    <w:rsid w:val="002E6F42"/>
    <w:rsid w:val="002F3309"/>
    <w:rsid w:val="003008CE"/>
    <w:rsid w:val="003009B7"/>
    <w:rsid w:val="00300E56"/>
    <w:rsid w:val="0030152C"/>
    <w:rsid w:val="0030469C"/>
    <w:rsid w:val="00321CA6"/>
    <w:rsid w:val="00323763"/>
    <w:rsid w:val="00323C5F"/>
    <w:rsid w:val="00334C09"/>
    <w:rsid w:val="00367BB9"/>
    <w:rsid w:val="003723D4"/>
    <w:rsid w:val="00381905"/>
    <w:rsid w:val="00384CC8"/>
    <w:rsid w:val="003871FD"/>
    <w:rsid w:val="003952C2"/>
    <w:rsid w:val="003A1E30"/>
    <w:rsid w:val="003A2829"/>
    <w:rsid w:val="003A6FC6"/>
    <w:rsid w:val="003A7D1C"/>
    <w:rsid w:val="003B304B"/>
    <w:rsid w:val="003B3146"/>
    <w:rsid w:val="003B374E"/>
    <w:rsid w:val="003B5EB3"/>
    <w:rsid w:val="003C4B4D"/>
    <w:rsid w:val="003F015E"/>
    <w:rsid w:val="003F3281"/>
    <w:rsid w:val="00400414"/>
    <w:rsid w:val="00400AB8"/>
    <w:rsid w:val="0041446B"/>
    <w:rsid w:val="0044071E"/>
    <w:rsid w:val="0044329C"/>
    <w:rsid w:val="00453E24"/>
    <w:rsid w:val="00455860"/>
    <w:rsid w:val="00457456"/>
    <w:rsid w:val="004577FE"/>
    <w:rsid w:val="00457B9C"/>
    <w:rsid w:val="00457FF8"/>
    <w:rsid w:val="0046164A"/>
    <w:rsid w:val="004628D2"/>
    <w:rsid w:val="00462DCD"/>
    <w:rsid w:val="004648AD"/>
    <w:rsid w:val="004703A9"/>
    <w:rsid w:val="004760DE"/>
    <w:rsid w:val="004763D7"/>
    <w:rsid w:val="00491AE7"/>
    <w:rsid w:val="004A004E"/>
    <w:rsid w:val="004A1C24"/>
    <w:rsid w:val="004A24CF"/>
    <w:rsid w:val="004A3E95"/>
    <w:rsid w:val="004C07C3"/>
    <w:rsid w:val="004C3D1D"/>
    <w:rsid w:val="004C3D84"/>
    <w:rsid w:val="004C5F33"/>
    <w:rsid w:val="004C6D3E"/>
    <w:rsid w:val="004C7913"/>
    <w:rsid w:val="004E4DD6"/>
    <w:rsid w:val="004F5E36"/>
    <w:rsid w:val="00500565"/>
    <w:rsid w:val="00507B47"/>
    <w:rsid w:val="00507BEF"/>
    <w:rsid w:val="00507CC9"/>
    <w:rsid w:val="005119A5"/>
    <w:rsid w:val="00514C33"/>
    <w:rsid w:val="00516AAC"/>
    <w:rsid w:val="00520382"/>
    <w:rsid w:val="005278B7"/>
    <w:rsid w:val="00530E01"/>
    <w:rsid w:val="00532016"/>
    <w:rsid w:val="005328F9"/>
    <w:rsid w:val="005346C8"/>
    <w:rsid w:val="00543E7D"/>
    <w:rsid w:val="00547A68"/>
    <w:rsid w:val="005531C9"/>
    <w:rsid w:val="00563D09"/>
    <w:rsid w:val="0056729A"/>
    <w:rsid w:val="00570C43"/>
    <w:rsid w:val="00583C2A"/>
    <w:rsid w:val="005864C9"/>
    <w:rsid w:val="00594256"/>
    <w:rsid w:val="005A52C8"/>
    <w:rsid w:val="005B2110"/>
    <w:rsid w:val="005B2EB2"/>
    <w:rsid w:val="005B61E6"/>
    <w:rsid w:val="005C4DA0"/>
    <w:rsid w:val="005C4EDB"/>
    <w:rsid w:val="005C77E1"/>
    <w:rsid w:val="005D2435"/>
    <w:rsid w:val="005D668A"/>
    <w:rsid w:val="005D6A2F"/>
    <w:rsid w:val="005D6E5F"/>
    <w:rsid w:val="005D78FE"/>
    <w:rsid w:val="005E1A82"/>
    <w:rsid w:val="005E794C"/>
    <w:rsid w:val="005F0A28"/>
    <w:rsid w:val="005F0E5E"/>
    <w:rsid w:val="005F3816"/>
    <w:rsid w:val="00600535"/>
    <w:rsid w:val="0060291C"/>
    <w:rsid w:val="00610CD6"/>
    <w:rsid w:val="00620DEE"/>
    <w:rsid w:val="00621F92"/>
    <w:rsid w:val="0062280A"/>
    <w:rsid w:val="00625639"/>
    <w:rsid w:val="00631B33"/>
    <w:rsid w:val="0064184D"/>
    <w:rsid w:val="006422CC"/>
    <w:rsid w:val="00660E3E"/>
    <w:rsid w:val="006627B4"/>
    <w:rsid w:val="00662E74"/>
    <w:rsid w:val="00680C23"/>
    <w:rsid w:val="00693766"/>
    <w:rsid w:val="00697A31"/>
    <w:rsid w:val="006A3281"/>
    <w:rsid w:val="006B27C9"/>
    <w:rsid w:val="006B3412"/>
    <w:rsid w:val="006B4888"/>
    <w:rsid w:val="006C2E45"/>
    <w:rsid w:val="006C359C"/>
    <w:rsid w:val="006C5579"/>
    <w:rsid w:val="006D6BB4"/>
    <w:rsid w:val="006D6E8B"/>
    <w:rsid w:val="006E6C06"/>
    <w:rsid w:val="006E737D"/>
    <w:rsid w:val="006F7A01"/>
    <w:rsid w:val="00710C3C"/>
    <w:rsid w:val="00713973"/>
    <w:rsid w:val="00720A24"/>
    <w:rsid w:val="00732386"/>
    <w:rsid w:val="0073514D"/>
    <w:rsid w:val="0073551D"/>
    <w:rsid w:val="00742D66"/>
    <w:rsid w:val="007447F3"/>
    <w:rsid w:val="0075499F"/>
    <w:rsid w:val="00757A7E"/>
    <w:rsid w:val="007661C8"/>
    <w:rsid w:val="0077098D"/>
    <w:rsid w:val="0077201B"/>
    <w:rsid w:val="007931FA"/>
    <w:rsid w:val="007A4861"/>
    <w:rsid w:val="007A6745"/>
    <w:rsid w:val="007A7BBA"/>
    <w:rsid w:val="007B0C50"/>
    <w:rsid w:val="007B307F"/>
    <w:rsid w:val="007B48F9"/>
    <w:rsid w:val="007C1A43"/>
    <w:rsid w:val="007C5C02"/>
    <w:rsid w:val="007D0951"/>
    <w:rsid w:val="0080013E"/>
    <w:rsid w:val="00813288"/>
    <w:rsid w:val="008168FC"/>
    <w:rsid w:val="008270CD"/>
    <w:rsid w:val="00830996"/>
    <w:rsid w:val="008345F1"/>
    <w:rsid w:val="00850008"/>
    <w:rsid w:val="0085225D"/>
    <w:rsid w:val="00863A44"/>
    <w:rsid w:val="00865B07"/>
    <w:rsid w:val="008667EA"/>
    <w:rsid w:val="0087637F"/>
    <w:rsid w:val="008855D1"/>
    <w:rsid w:val="00892AD5"/>
    <w:rsid w:val="00892F2F"/>
    <w:rsid w:val="008A1512"/>
    <w:rsid w:val="008A5D8D"/>
    <w:rsid w:val="008A795D"/>
    <w:rsid w:val="008B7C03"/>
    <w:rsid w:val="008D32B9"/>
    <w:rsid w:val="008D433B"/>
    <w:rsid w:val="008D4A16"/>
    <w:rsid w:val="008E566E"/>
    <w:rsid w:val="0090161A"/>
    <w:rsid w:val="00901EB6"/>
    <w:rsid w:val="00904C62"/>
    <w:rsid w:val="00920D75"/>
    <w:rsid w:val="00921634"/>
    <w:rsid w:val="00922BA8"/>
    <w:rsid w:val="00924881"/>
    <w:rsid w:val="00924DAC"/>
    <w:rsid w:val="00927058"/>
    <w:rsid w:val="00942750"/>
    <w:rsid w:val="009450CE"/>
    <w:rsid w:val="009459BB"/>
    <w:rsid w:val="00947179"/>
    <w:rsid w:val="0095164B"/>
    <w:rsid w:val="009522B8"/>
    <w:rsid w:val="00954090"/>
    <w:rsid w:val="00954276"/>
    <w:rsid w:val="009573E7"/>
    <w:rsid w:val="00963E05"/>
    <w:rsid w:val="00964A45"/>
    <w:rsid w:val="00967843"/>
    <w:rsid w:val="00967D54"/>
    <w:rsid w:val="00971028"/>
    <w:rsid w:val="0098338E"/>
    <w:rsid w:val="00993B84"/>
    <w:rsid w:val="00996483"/>
    <w:rsid w:val="00996F5A"/>
    <w:rsid w:val="009A2C1D"/>
    <w:rsid w:val="009B041A"/>
    <w:rsid w:val="009B3F36"/>
    <w:rsid w:val="009C37C3"/>
    <w:rsid w:val="009C7C86"/>
    <w:rsid w:val="009D2FF7"/>
    <w:rsid w:val="009E7884"/>
    <w:rsid w:val="009E788A"/>
    <w:rsid w:val="009F0E08"/>
    <w:rsid w:val="009F78EB"/>
    <w:rsid w:val="00A041C7"/>
    <w:rsid w:val="00A1406F"/>
    <w:rsid w:val="00A1763D"/>
    <w:rsid w:val="00A17CEC"/>
    <w:rsid w:val="00A27EF0"/>
    <w:rsid w:val="00A400E0"/>
    <w:rsid w:val="00A42361"/>
    <w:rsid w:val="00A50B20"/>
    <w:rsid w:val="00A5103B"/>
    <w:rsid w:val="00A51390"/>
    <w:rsid w:val="00A55D97"/>
    <w:rsid w:val="00A60D13"/>
    <w:rsid w:val="00A70FA1"/>
    <w:rsid w:val="00A7223D"/>
    <w:rsid w:val="00A72745"/>
    <w:rsid w:val="00A76EFC"/>
    <w:rsid w:val="00A87D50"/>
    <w:rsid w:val="00A91010"/>
    <w:rsid w:val="00A97F29"/>
    <w:rsid w:val="00AA198F"/>
    <w:rsid w:val="00AA702E"/>
    <w:rsid w:val="00AA7D26"/>
    <w:rsid w:val="00AB0964"/>
    <w:rsid w:val="00AB40CD"/>
    <w:rsid w:val="00AB5011"/>
    <w:rsid w:val="00AC7368"/>
    <w:rsid w:val="00AD16B9"/>
    <w:rsid w:val="00AE377D"/>
    <w:rsid w:val="00AF0EBA"/>
    <w:rsid w:val="00B02C8A"/>
    <w:rsid w:val="00B17D76"/>
    <w:rsid w:val="00B17FBD"/>
    <w:rsid w:val="00B22285"/>
    <w:rsid w:val="00B31139"/>
    <w:rsid w:val="00B315A6"/>
    <w:rsid w:val="00B317B6"/>
    <w:rsid w:val="00B31813"/>
    <w:rsid w:val="00B33365"/>
    <w:rsid w:val="00B42AE8"/>
    <w:rsid w:val="00B56AAD"/>
    <w:rsid w:val="00B57B36"/>
    <w:rsid w:val="00B57E6F"/>
    <w:rsid w:val="00B8686D"/>
    <w:rsid w:val="00B93F69"/>
    <w:rsid w:val="00BB1DDC"/>
    <w:rsid w:val="00BC30C9"/>
    <w:rsid w:val="00BD077D"/>
    <w:rsid w:val="00BD3329"/>
    <w:rsid w:val="00BD374E"/>
    <w:rsid w:val="00BD4A21"/>
    <w:rsid w:val="00BE19DF"/>
    <w:rsid w:val="00BE3E58"/>
    <w:rsid w:val="00C01616"/>
    <w:rsid w:val="00C0162B"/>
    <w:rsid w:val="00C068ED"/>
    <w:rsid w:val="00C12108"/>
    <w:rsid w:val="00C20C61"/>
    <w:rsid w:val="00C21FE1"/>
    <w:rsid w:val="00C22E0C"/>
    <w:rsid w:val="00C345B1"/>
    <w:rsid w:val="00C40142"/>
    <w:rsid w:val="00C43A29"/>
    <w:rsid w:val="00C52C3C"/>
    <w:rsid w:val="00C57182"/>
    <w:rsid w:val="00C57863"/>
    <w:rsid w:val="00C640AF"/>
    <w:rsid w:val="00C655FD"/>
    <w:rsid w:val="00C75407"/>
    <w:rsid w:val="00C8322D"/>
    <w:rsid w:val="00C870A8"/>
    <w:rsid w:val="00C9239C"/>
    <w:rsid w:val="00C93017"/>
    <w:rsid w:val="00C94434"/>
    <w:rsid w:val="00CA0D4A"/>
    <w:rsid w:val="00CA0D75"/>
    <w:rsid w:val="00CA1C95"/>
    <w:rsid w:val="00CA5A9C"/>
    <w:rsid w:val="00CC4C20"/>
    <w:rsid w:val="00CD3517"/>
    <w:rsid w:val="00CD5FE2"/>
    <w:rsid w:val="00CE7C68"/>
    <w:rsid w:val="00D02B4C"/>
    <w:rsid w:val="00D040C4"/>
    <w:rsid w:val="00D07EDB"/>
    <w:rsid w:val="00D20AD1"/>
    <w:rsid w:val="00D46B7E"/>
    <w:rsid w:val="00D53092"/>
    <w:rsid w:val="00D539B9"/>
    <w:rsid w:val="00D57C84"/>
    <w:rsid w:val="00D6057D"/>
    <w:rsid w:val="00D648EC"/>
    <w:rsid w:val="00D71640"/>
    <w:rsid w:val="00D836C5"/>
    <w:rsid w:val="00D84576"/>
    <w:rsid w:val="00DA1399"/>
    <w:rsid w:val="00DA24C6"/>
    <w:rsid w:val="00DA4D7B"/>
    <w:rsid w:val="00DD271C"/>
    <w:rsid w:val="00DE020B"/>
    <w:rsid w:val="00DE1C9B"/>
    <w:rsid w:val="00DE264A"/>
    <w:rsid w:val="00DF5072"/>
    <w:rsid w:val="00E02B70"/>
    <w:rsid w:val="00E02D18"/>
    <w:rsid w:val="00E041E7"/>
    <w:rsid w:val="00E23CA1"/>
    <w:rsid w:val="00E31A01"/>
    <w:rsid w:val="00E33DD7"/>
    <w:rsid w:val="00E409A8"/>
    <w:rsid w:val="00E50C12"/>
    <w:rsid w:val="00E57A08"/>
    <w:rsid w:val="00E642A1"/>
    <w:rsid w:val="00E65B91"/>
    <w:rsid w:val="00E7209D"/>
    <w:rsid w:val="00E72EAD"/>
    <w:rsid w:val="00E77223"/>
    <w:rsid w:val="00E8528B"/>
    <w:rsid w:val="00E85B94"/>
    <w:rsid w:val="00E978D0"/>
    <w:rsid w:val="00EA4613"/>
    <w:rsid w:val="00EA7F91"/>
    <w:rsid w:val="00EB028C"/>
    <w:rsid w:val="00EB1523"/>
    <w:rsid w:val="00EB5133"/>
    <w:rsid w:val="00EC0E49"/>
    <w:rsid w:val="00EC101F"/>
    <w:rsid w:val="00EC1D9F"/>
    <w:rsid w:val="00EE0131"/>
    <w:rsid w:val="00EE17B0"/>
    <w:rsid w:val="00EE30B3"/>
    <w:rsid w:val="00EE3E1E"/>
    <w:rsid w:val="00EF06D9"/>
    <w:rsid w:val="00F070F6"/>
    <w:rsid w:val="00F3049E"/>
    <w:rsid w:val="00F30C64"/>
    <w:rsid w:val="00F32BA2"/>
    <w:rsid w:val="00F32CDB"/>
    <w:rsid w:val="00F565FE"/>
    <w:rsid w:val="00F63A70"/>
    <w:rsid w:val="00F63D8C"/>
    <w:rsid w:val="00F7234A"/>
    <w:rsid w:val="00F7534E"/>
    <w:rsid w:val="00F846CB"/>
    <w:rsid w:val="00F93EDF"/>
    <w:rsid w:val="00F95A5F"/>
    <w:rsid w:val="00FA1802"/>
    <w:rsid w:val="00FA21D0"/>
    <w:rsid w:val="00FA5F5F"/>
    <w:rsid w:val="00FB730C"/>
    <w:rsid w:val="00FC21D0"/>
    <w:rsid w:val="00FC2695"/>
    <w:rsid w:val="00FC3E03"/>
    <w:rsid w:val="00FC3FC1"/>
    <w:rsid w:val="00FD3C86"/>
    <w:rsid w:val="00FD7EF1"/>
    <w:rsid w:val="00FE5788"/>
    <w:rsid w:val="00FF05A1"/>
    <w:rsid w:val="00FF2A93"/>
    <w:rsid w:val="00FF2F82"/>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aragrafoelenco">
    <w:name w:val="List Paragraph"/>
    <w:basedOn w:val="Normale"/>
    <w:uiPriority w:val="34"/>
    <w:rsid w:val="00280FAF"/>
    <w:pPr>
      <w:ind w:left="720"/>
      <w:contextualSpacing/>
    </w:pPr>
  </w:style>
  <w:style w:type="character" w:customStyle="1" w:styleId="title-text">
    <w:name w:val="title-text"/>
    <w:basedOn w:val="Carpredefinitoparagrafo"/>
    <w:rsid w:val="000F42FD"/>
  </w:style>
  <w:style w:type="character" w:styleId="Collegamentovisitato">
    <w:name w:val="FollowedHyperlink"/>
    <w:basedOn w:val="Carpredefinitoparagrafo"/>
    <w:uiPriority w:val="99"/>
    <w:semiHidden/>
    <w:unhideWhenUsed/>
    <w:rsid w:val="003F3281"/>
    <w:rPr>
      <w:color w:val="800080" w:themeColor="followedHyperlink"/>
      <w:u w:val="single"/>
    </w:rPr>
  </w:style>
  <w:style w:type="character" w:customStyle="1" w:styleId="Menzionenonrisolta1">
    <w:name w:val="Menzione non risolta1"/>
    <w:basedOn w:val="Carpredefinitoparagrafo"/>
    <w:uiPriority w:val="99"/>
    <w:semiHidden/>
    <w:unhideWhenUsed/>
    <w:rsid w:val="00FE5788"/>
    <w:rPr>
      <w:color w:val="605E5C"/>
      <w:shd w:val="clear" w:color="auto" w:fill="E1DFDD"/>
    </w:rPr>
  </w:style>
  <w:style w:type="paragraph" w:styleId="Revisione">
    <w:name w:val="Revision"/>
    <w:hidden/>
    <w:uiPriority w:val="99"/>
    <w:semiHidden/>
    <w:rsid w:val="00F7234A"/>
    <w:pPr>
      <w:spacing w:after="0" w:line="240" w:lineRule="auto"/>
    </w:pPr>
    <w:rPr>
      <w:rFonts w:ascii="Arial" w:eastAsia="Times New Roman" w:hAnsi="Arial" w:cs="Times New Roman"/>
      <w:sz w:val="1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876715">
      <w:bodyDiv w:val="1"/>
      <w:marLeft w:val="0"/>
      <w:marRight w:val="0"/>
      <w:marTop w:val="0"/>
      <w:marBottom w:val="0"/>
      <w:divBdr>
        <w:top w:val="none" w:sz="0" w:space="0" w:color="auto"/>
        <w:left w:val="none" w:sz="0" w:space="0" w:color="auto"/>
        <w:bottom w:val="none" w:sz="0" w:space="0" w:color="auto"/>
        <w:right w:val="none" w:sz="0" w:space="0" w:color="auto"/>
      </w:divBdr>
    </w:div>
    <w:div w:id="393432038">
      <w:bodyDiv w:val="1"/>
      <w:marLeft w:val="0"/>
      <w:marRight w:val="0"/>
      <w:marTop w:val="0"/>
      <w:marBottom w:val="0"/>
      <w:divBdr>
        <w:top w:val="none" w:sz="0" w:space="0" w:color="auto"/>
        <w:left w:val="none" w:sz="0" w:space="0" w:color="auto"/>
        <w:bottom w:val="none" w:sz="0" w:space="0" w:color="auto"/>
        <w:right w:val="none" w:sz="0" w:space="0" w:color="auto"/>
      </w:divBdr>
      <w:divsChild>
        <w:div w:id="1528368977">
          <w:marLeft w:val="0"/>
          <w:marRight w:val="0"/>
          <w:marTop w:val="0"/>
          <w:marBottom w:val="0"/>
          <w:divBdr>
            <w:top w:val="none" w:sz="0" w:space="0" w:color="auto"/>
            <w:left w:val="none" w:sz="0" w:space="0" w:color="auto"/>
            <w:bottom w:val="none" w:sz="0" w:space="0" w:color="auto"/>
            <w:right w:val="none" w:sz="0" w:space="0" w:color="auto"/>
          </w:divBdr>
          <w:divsChild>
            <w:div w:id="203062603">
              <w:marLeft w:val="0"/>
              <w:marRight w:val="0"/>
              <w:marTop w:val="0"/>
              <w:marBottom w:val="0"/>
              <w:divBdr>
                <w:top w:val="none" w:sz="0" w:space="0" w:color="auto"/>
                <w:left w:val="none" w:sz="0" w:space="0" w:color="auto"/>
                <w:bottom w:val="none" w:sz="0" w:space="0" w:color="auto"/>
                <w:right w:val="none" w:sz="0" w:space="0" w:color="auto"/>
              </w:divBdr>
              <w:divsChild>
                <w:div w:id="204062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761526">
      <w:bodyDiv w:val="1"/>
      <w:marLeft w:val="0"/>
      <w:marRight w:val="0"/>
      <w:marTop w:val="0"/>
      <w:marBottom w:val="0"/>
      <w:divBdr>
        <w:top w:val="none" w:sz="0" w:space="0" w:color="auto"/>
        <w:left w:val="none" w:sz="0" w:space="0" w:color="auto"/>
        <w:bottom w:val="none" w:sz="0" w:space="0" w:color="auto"/>
        <w:right w:val="none" w:sz="0" w:space="0" w:color="auto"/>
      </w:divBdr>
    </w:div>
    <w:div w:id="594241664">
      <w:bodyDiv w:val="1"/>
      <w:marLeft w:val="0"/>
      <w:marRight w:val="0"/>
      <w:marTop w:val="0"/>
      <w:marBottom w:val="0"/>
      <w:divBdr>
        <w:top w:val="none" w:sz="0" w:space="0" w:color="auto"/>
        <w:left w:val="none" w:sz="0" w:space="0" w:color="auto"/>
        <w:bottom w:val="none" w:sz="0" w:space="0" w:color="auto"/>
        <w:right w:val="none" w:sz="0" w:space="0" w:color="auto"/>
      </w:divBdr>
    </w:div>
    <w:div w:id="712392235">
      <w:bodyDiv w:val="1"/>
      <w:marLeft w:val="0"/>
      <w:marRight w:val="0"/>
      <w:marTop w:val="0"/>
      <w:marBottom w:val="0"/>
      <w:divBdr>
        <w:top w:val="none" w:sz="0" w:space="0" w:color="auto"/>
        <w:left w:val="none" w:sz="0" w:space="0" w:color="auto"/>
        <w:bottom w:val="none" w:sz="0" w:space="0" w:color="auto"/>
        <w:right w:val="none" w:sz="0" w:space="0" w:color="auto"/>
      </w:divBdr>
    </w:div>
    <w:div w:id="734207078">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680752">
      <w:bodyDiv w:val="1"/>
      <w:marLeft w:val="0"/>
      <w:marRight w:val="0"/>
      <w:marTop w:val="0"/>
      <w:marBottom w:val="0"/>
      <w:divBdr>
        <w:top w:val="none" w:sz="0" w:space="0" w:color="auto"/>
        <w:left w:val="none" w:sz="0" w:space="0" w:color="auto"/>
        <w:bottom w:val="none" w:sz="0" w:space="0" w:color="auto"/>
        <w:right w:val="none" w:sz="0" w:space="0" w:color="auto"/>
      </w:divBdr>
      <w:divsChild>
        <w:div w:id="1419791537">
          <w:marLeft w:val="0"/>
          <w:marRight w:val="0"/>
          <w:marTop w:val="0"/>
          <w:marBottom w:val="0"/>
          <w:divBdr>
            <w:top w:val="none" w:sz="0" w:space="0" w:color="auto"/>
            <w:left w:val="none" w:sz="0" w:space="0" w:color="auto"/>
            <w:bottom w:val="none" w:sz="0" w:space="0" w:color="auto"/>
            <w:right w:val="none" w:sz="0" w:space="0" w:color="auto"/>
          </w:divBdr>
          <w:divsChild>
            <w:div w:id="424036049">
              <w:marLeft w:val="0"/>
              <w:marRight w:val="0"/>
              <w:marTop w:val="0"/>
              <w:marBottom w:val="0"/>
              <w:divBdr>
                <w:top w:val="none" w:sz="0" w:space="0" w:color="auto"/>
                <w:left w:val="none" w:sz="0" w:space="0" w:color="auto"/>
                <w:bottom w:val="none" w:sz="0" w:space="0" w:color="auto"/>
                <w:right w:val="none" w:sz="0" w:space="0" w:color="auto"/>
              </w:divBdr>
              <w:divsChild>
                <w:div w:id="138229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4023002">
      <w:bodyDiv w:val="1"/>
      <w:marLeft w:val="0"/>
      <w:marRight w:val="0"/>
      <w:marTop w:val="0"/>
      <w:marBottom w:val="0"/>
      <w:divBdr>
        <w:top w:val="none" w:sz="0" w:space="0" w:color="auto"/>
        <w:left w:val="none" w:sz="0" w:space="0" w:color="auto"/>
        <w:bottom w:val="none" w:sz="0" w:space="0" w:color="auto"/>
        <w:right w:val="none" w:sz="0" w:space="0" w:color="auto"/>
      </w:divBdr>
      <w:divsChild>
        <w:div w:id="885485233">
          <w:marLeft w:val="0"/>
          <w:marRight w:val="0"/>
          <w:marTop w:val="0"/>
          <w:marBottom w:val="0"/>
          <w:divBdr>
            <w:top w:val="none" w:sz="0" w:space="0" w:color="auto"/>
            <w:left w:val="none" w:sz="0" w:space="0" w:color="auto"/>
            <w:bottom w:val="none" w:sz="0" w:space="0" w:color="auto"/>
            <w:right w:val="none" w:sz="0" w:space="0" w:color="auto"/>
          </w:divBdr>
          <w:divsChild>
            <w:div w:id="1394501547">
              <w:marLeft w:val="0"/>
              <w:marRight w:val="0"/>
              <w:marTop w:val="0"/>
              <w:marBottom w:val="0"/>
              <w:divBdr>
                <w:top w:val="none" w:sz="0" w:space="0" w:color="auto"/>
                <w:left w:val="none" w:sz="0" w:space="0" w:color="auto"/>
                <w:bottom w:val="none" w:sz="0" w:space="0" w:color="auto"/>
                <w:right w:val="none" w:sz="0" w:space="0" w:color="auto"/>
              </w:divBdr>
              <w:divsChild>
                <w:div w:id="137462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603459">
      <w:bodyDiv w:val="1"/>
      <w:marLeft w:val="0"/>
      <w:marRight w:val="0"/>
      <w:marTop w:val="0"/>
      <w:marBottom w:val="0"/>
      <w:divBdr>
        <w:top w:val="none" w:sz="0" w:space="0" w:color="auto"/>
        <w:left w:val="none" w:sz="0" w:space="0" w:color="auto"/>
        <w:bottom w:val="none" w:sz="0" w:space="0" w:color="auto"/>
        <w:right w:val="none" w:sz="0" w:space="0" w:color="auto"/>
      </w:divBdr>
    </w:div>
    <w:div w:id="1116872100">
      <w:bodyDiv w:val="1"/>
      <w:marLeft w:val="0"/>
      <w:marRight w:val="0"/>
      <w:marTop w:val="0"/>
      <w:marBottom w:val="0"/>
      <w:divBdr>
        <w:top w:val="none" w:sz="0" w:space="0" w:color="auto"/>
        <w:left w:val="none" w:sz="0" w:space="0" w:color="auto"/>
        <w:bottom w:val="none" w:sz="0" w:space="0" w:color="auto"/>
        <w:right w:val="none" w:sz="0" w:space="0" w:color="auto"/>
      </w:divBdr>
    </w:div>
    <w:div w:id="1125083290">
      <w:bodyDiv w:val="1"/>
      <w:marLeft w:val="0"/>
      <w:marRight w:val="0"/>
      <w:marTop w:val="0"/>
      <w:marBottom w:val="0"/>
      <w:divBdr>
        <w:top w:val="none" w:sz="0" w:space="0" w:color="auto"/>
        <w:left w:val="none" w:sz="0" w:space="0" w:color="auto"/>
        <w:bottom w:val="none" w:sz="0" w:space="0" w:color="auto"/>
        <w:right w:val="none" w:sz="0" w:space="0" w:color="auto"/>
      </w:divBdr>
    </w:div>
    <w:div w:id="1280648957">
      <w:bodyDiv w:val="1"/>
      <w:marLeft w:val="0"/>
      <w:marRight w:val="0"/>
      <w:marTop w:val="0"/>
      <w:marBottom w:val="0"/>
      <w:divBdr>
        <w:top w:val="none" w:sz="0" w:space="0" w:color="auto"/>
        <w:left w:val="none" w:sz="0" w:space="0" w:color="auto"/>
        <w:bottom w:val="none" w:sz="0" w:space="0" w:color="auto"/>
        <w:right w:val="none" w:sz="0" w:space="0" w:color="auto"/>
      </w:divBdr>
    </w:div>
    <w:div w:id="1294755963">
      <w:bodyDiv w:val="1"/>
      <w:marLeft w:val="0"/>
      <w:marRight w:val="0"/>
      <w:marTop w:val="0"/>
      <w:marBottom w:val="0"/>
      <w:divBdr>
        <w:top w:val="none" w:sz="0" w:space="0" w:color="auto"/>
        <w:left w:val="none" w:sz="0" w:space="0" w:color="auto"/>
        <w:bottom w:val="none" w:sz="0" w:space="0" w:color="auto"/>
        <w:right w:val="none" w:sz="0" w:space="0" w:color="auto"/>
      </w:divBdr>
      <w:divsChild>
        <w:div w:id="1571885713">
          <w:marLeft w:val="0"/>
          <w:marRight w:val="0"/>
          <w:marTop w:val="0"/>
          <w:marBottom w:val="0"/>
          <w:divBdr>
            <w:top w:val="none" w:sz="0" w:space="0" w:color="auto"/>
            <w:left w:val="none" w:sz="0" w:space="0" w:color="auto"/>
            <w:bottom w:val="none" w:sz="0" w:space="0" w:color="auto"/>
            <w:right w:val="none" w:sz="0" w:space="0" w:color="auto"/>
          </w:divBdr>
          <w:divsChild>
            <w:div w:id="361519219">
              <w:marLeft w:val="0"/>
              <w:marRight w:val="0"/>
              <w:marTop w:val="0"/>
              <w:marBottom w:val="0"/>
              <w:divBdr>
                <w:top w:val="none" w:sz="0" w:space="0" w:color="auto"/>
                <w:left w:val="none" w:sz="0" w:space="0" w:color="auto"/>
                <w:bottom w:val="none" w:sz="0" w:space="0" w:color="auto"/>
                <w:right w:val="none" w:sz="0" w:space="0" w:color="auto"/>
              </w:divBdr>
              <w:divsChild>
                <w:div w:id="111648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0673526">
      <w:bodyDiv w:val="1"/>
      <w:marLeft w:val="0"/>
      <w:marRight w:val="0"/>
      <w:marTop w:val="0"/>
      <w:marBottom w:val="0"/>
      <w:divBdr>
        <w:top w:val="none" w:sz="0" w:space="0" w:color="auto"/>
        <w:left w:val="none" w:sz="0" w:space="0" w:color="auto"/>
        <w:bottom w:val="none" w:sz="0" w:space="0" w:color="auto"/>
        <w:right w:val="none" w:sz="0" w:space="0" w:color="auto"/>
      </w:divBdr>
    </w:div>
    <w:div w:id="1370565684">
      <w:bodyDiv w:val="1"/>
      <w:marLeft w:val="0"/>
      <w:marRight w:val="0"/>
      <w:marTop w:val="0"/>
      <w:marBottom w:val="0"/>
      <w:divBdr>
        <w:top w:val="none" w:sz="0" w:space="0" w:color="auto"/>
        <w:left w:val="none" w:sz="0" w:space="0" w:color="auto"/>
        <w:bottom w:val="none" w:sz="0" w:space="0" w:color="auto"/>
        <w:right w:val="none" w:sz="0" w:space="0" w:color="auto"/>
      </w:divBdr>
      <w:divsChild>
        <w:div w:id="1582443842">
          <w:marLeft w:val="0"/>
          <w:marRight w:val="0"/>
          <w:marTop w:val="0"/>
          <w:marBottom w:val="0"/>
          <w:divBdr>
            <w:top w:val="none" w:sz="0" w:space="0" w:color="auto"/>
            <w:left w:val="none" w:sz="0" w:space="0" w:color="auto"/>
            <w:bottom w:val="none" w:sz="0" w:space="0" w:color="auto"/>
            <w:right w:val="none" w:sz="0" w:space="0" w:color="auto"/>
          </w:divBdr>
          <w:divsChild>
            <w:div w:id="2038653691">
              <w:marLeft w:val="0"/>
              <w:marRight w:val="0"/>
              <w:marTop w:val="0"/>
              <w:marBottom w:val="0"/>
              <w:divBdr>
                <w:top w:val="none" w:sz="0" w:space="0" w:color="auto"/>
                <w:left w:val="none" w:sz="0" w:space="0" w:color="auto"/>
                <w:bottom w:val="none" w:sz="0" w:space="0" w:color="auto"/>
                <w:right w:val="none" w:sz="0" w:space="0" w:color="auto"/>
              </w:divBdr>
              <w:divsChild>
                <w:div w:id="33384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54515285">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534490121">
      <w:bodyDiv w:val="1"/>
      <w:marLeft w:val="0"/>
      <w:marRight w:val="0"/>
      <w:marTop w:val="0"/>
      <w:marBottom w:val="0"/>
      <w:divBdr>
        <w:top w:val="none" w:sz="0" w:space="0" w:color="auto"/>
        <w:left w:val="none" w:sz="0" w:space="0" w:color="auto"/>
        <w:bottom w:val="none" w:sz="0" w:space="0" w:color="auto"/>
        <w:right w:val="none" w:sz="0" w:space="0" w:color="auto"/>
      </w:divBdr>
      <w:divsChild>
        <w:div w:id="1496451625">
          <w:marLeft w:val="0"/>
          <w:marRight w:val="0"/>
          <w:marTop w:val="0"/>
          <w:marBottom w:val="0"/>
          <w:divBdr>
            <w:top w:val="none" w:sz="0" w:space="0" w:color="auto"/>
            <w:left w:val="none" w:sz="0" w:space="0" w:color="auto"/>
            <w:bottom w:val="none" w:sz="0" w:space="0" w:color="auto"/>
            <w:right w:val="none" w:sz="0" w:space="0" w:color="auto"/>
          </w:divBdr>
          <w:divsChild>
            <w:div w:id="1990209168">
              <w:marLeft w:val="0"/>
              <w:marRight w:val="0"/>
              <w:marTop w:val="0"/>
              <w:marBottom w:val="0"/>
              <w:divBdr>
                <w:top w:val="none" w:sz="0" w:space="0" w:color="auto"/>
                <w:left w:val="none" w:sz="0" w:space="0" w:color="auto"/>
                <w:bottom w:val="none" w:sz="0" w:space="0" w:color="auto"/>
                <w:right w:val="none" w:sz="0" w:space="0" w:color="auto"/>
              </w:divBdr>
              <w:divsChild>
                <w:div w:id="1233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004781">
      <w:bodyDiv w:val="1"/>
      <w:marLeft w:val="0"/>
      <w:marRight w:val="0"/>
      <w:marTop w:val="0"/>
      <w:marBottom w:val="0"/>
      <w:divBdr>
        <w:top w:val="none" w:sz="0" w:space="0" w:color="auto"/>
        <w:left w:val="none" w:sz="0" w:space="0" w:color="auto"/>
        <w:bottom w:val="none" w:sz="0" w:space="0" w:color="auto"/>
        <w:right w:val="none" w:sz="0" w:space="0" w:color="auto"/>
      </w:divBdr>
    </w:div>
    <w:div w:id="1580677522">
      <w:bodyDiv w:val="1"/>
      <w:marLeft w:val="0"/>
      <w:marRight w:val="0"/>
      <w:marTop w:val="0"/>
      <w:marBottom w:val="0"/>
      <w:divBdr>
        <w:top w:val="none" w:sz="0" w:space="0" w:color="auto"/>
        <w:left w:val="none" w:sz="0" w:space="0" w:color="auto"/>
        <w:bottom w:val="none" w:sz="0" w:space="0" w:color="auto"/>
        <w:right w:val="none" w:sz="0" w:space="0" w:color="auto"/>
      </w:divBdr>
      <w:divsChild>
        <w:div w:id="2019307519">
          <w:marLeft w:val="0"/>
          <w:marRight w:val="0"/>
          <w:marTop w:val="0"/>
          <w:marBottom w:val="0"/>
          <w:divBdr>
            <w:top w:val="none" w:sz="0" w:space="0" w:color="auto"/>
            <w:left w:val="none" w:sz="0" w:space="0" w:color="auto"/>
            <w:bottom w:val="none" w:sz="0" w:space="0" w:color="auto"/>
            <w:right w:val="none" w:sz="0" w:space="0" w:color="auto"/>
          </w:divBdr>
          <w:divsChild>
            <w:div w:id="244997420">
              <w:marLeft w:val="0"/>
              <w:marRight w:val="0"/>
              <w:marTop w:val="0"/>
              <w:marBottom w:val="0"/>
              <w:divBdr>
                <w:top w:val="none" w:sz="0" w:space="0" w:color="auto"/>
                <w:left w:val="none" w:sz="0" w:space="0" w:color="auto"/>
                <w:bottom w:val="none" w:sz="0" w:space="0" w:color="auto"/>
                <w:right w:val="none" w:sz="0" w:space="0" w:color="auto"/>
              </w:divBdr>
              <w:divsChild>
                <w:div w:id="10407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036522">
      <w:bodyDiv w:val="1"/>
      <w:marLeft w:val="0"/>
      <w:marRight w:val="0"/>
      <w:marTop w:val="0"/>
      <w:marBottom w:val="0"/>
      <w:divBdr>
        <w:top w:val="none" w:sz="0" w:space="0" w:color="auto"/>
        <w:left w:val="none" w:sz="0" w:space="0" w:color="auto"/>
        <w:bottom w:val="none" w:sz="0" w:space="0" w:color="auto"/>
        <w:right w:val="none" w:sz="0" w:space="0" w:color="auto"/>
      </w:divBdr>
    </w:div>
    <w:div w:id="1681735760">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766949">
      <w:bodyDiv w:val="1"/>
      <w:marLeft w:val="0"/>
      <w:marRight w:val="0"/>
      <w:marTop w:val="0"/>
      <w:marBottom w:val="0"/>
      <w:divBdr>
        <w:top w:val="none" w:sz="0" w:space="0" w:color="auto"/>
        <w:left w:val="none" w:sz="0" w:space="0" w:color="auto"/>
        <w:bottom w:val="none" w:sz="0" w:space="0" w:color="auto"/>
        <w:right w:val="none" w:sz="0" w:space="0" w:color="auto"/>
      </w:divBdr>
    </w:div>
    <w:div w:id="1961496690">
      <w:bodyDiv w:val="1"/>
      <w:marLeft w:val="0"/>
      <w:marRight w:val="0"/>
      <w:marTop w:val="0"/>
      <w:marBottom w:val="0"/>
      <w:divBdr>
        <w:top w:val="none" w:sz="0" w:space="0" w:color="auto"/>
        <w:left w:val="none" w:sz="0" w:space="0" w:color="auto"/>
        <w:bottom w:val="none" w:sz="0" w:space="0" w:color="auto"/>
        <w:right w:val="none" w:sz="0" w:space="0" w:color="auto"/>
      </w:divBdr>
      <w:divsChild>
        <w:div w:id="768702749">
          <w:marLeft w:val="0"/>
          <w:marRight w:val="0"/>
          <w:marTop w:val="0"/>
          <w:marBottom w:val="0"/>
          <w:divBdr>
            <w:top w:val="none" w:sz="0" w:space="0" w:color="auto"/>
            <w:left w:val="none" w:sz="0" w:space="0" w:color="auto"/>
            <w:bottom w:val="none" w:sz="0" w:space="0" w:color="auto"/>
            <w:right w:val="none" w:sz="0" w:space="0" w:color="auto"/>
          </w:divBdr>
          <w:divsChild>
            <w:div w:id="1873958699">
              <w:marLeft w:val="0"/>
              <w:marRight w:val="0"/>
              <w:marTop w:val="0"/>
              <w:marBottom w:val="0"/>
              <w:divBdr>
                <w:top w:val="none" w:sz="0" w:space="0" w:color="auto"/>
                <w:left w:val="none" w:sz="0" w:space="0" w:color="auto"/>
                <w:bottom w:val="none" w:sz="0" w:space="0" w:color="auto"/>
                <w:right w:val="none" w:sz="0" w:space="0" w:color="auto"/>
              </w:divBdr>
              <w:divsChild>
                <w:div w:id="77007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996024">
      <w:bodyDiv w:val="1"/>
      <w:marLeft w:val="0"/>
      <w:marRight w:val="0"/>
      <w:marTop w:val="0"/>
      <w:marBottom w:val="0"/>
      <w:divBdr>
        <w:top w:val="none" w:sz="0" w:space="0" w:color="auto"/>
        <w:left w:val="none" w:sz="0" w:space="0" w:color="auto"/>
        <w:bottom w:val="none" w:sz="0" w:space="0" w:color="auto"/>
        <w:right w:val="none" w:sz="0" w:space="0" w:color="auto"/>
      </w:divBdr>
      <w:divsChild>
        <w:div w:id="1989281065">
          <w:marLeft w:val="0"/>
          <w:marRight w:val="0"/>
          <w:marTop w:val="0"/>
          <w:marBottom w:val="0"/>
          <w:divBdr>
            <w:top w:val="none" w:sz="0" w:space="0" w:color="auto"/>
            <w:left w:val="none" w:sz="0" w:space="0" w:color="auto"/>
            <w:bottom w:val="none" w:sz="0" w:space="0" w:color="auto"/>
            <w:right w:val="none" w:sz="0" w:space="0" w:color="auto"/>
          </w:divBdr>
          <w:divsChild>
            <w:div w:id="5403566">
              <w:marLeft w:val="0"/>
              <w:marRight w:val="0"/>
              <w:marTop w:val="0"/>
              <w:marBottom w:val="0"/>
              <w:divBdr>
                <w:top w:val="none" w:sz="0" w:space="0" w:color="auto"/>
                <w:left w:val="none" w:sz="0" w:space="0" w:color="auto"/>
                <w:bottom w:val="none" w:sz="0" w:space="0" w:color="auto"/>
                <w:right w:val="none" w:sz="0" w:space="0" w:color="auto"/>
              </w:divBdr>
              <w:divsChild>
                <w:div w:id="191470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769C7E-43B2-4161-8A68-54A402C79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2886</Words>
  <Characters>16455</Characters>
  <Application>Microsoft Office Word</Application>
  <DocSecurity>0</DocSecurity>
  <Lines>137</Lines>
  <Paragraphs>38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Dipartimento CMIC - Politecnico di Milano</Company>
  <LinksUpToDate>false</LinksUpToDate>
  <CharactersWithSpaces>19303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Antonia  Tamborrino</cp:lastModifiedBy>
  <cp:revision>6</cp:revision>
  <cp:lastPrinted>2015-05-12T18:31:00Z</cp:lastPrinted>
  <dcterms:created xsi:type="dcterms:W3CDTF">2023-08-01T05:47:00Z</dcterms:created>
  <dcterms:modified xsi:type="dcterms:W3CDTF">2023-08-01T06:44:00Z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